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3AA" w:rsidRPr="007914A7" w:rsidRDefault="003813AA" w:rsidP="007914A7">
      <w:pPr>
        <w:ind w:firstLine="720"/>
        <w:jc w:val="center"/>
        <w:rPr>
          <w:rFonts w:asciiTheme="majorEastAsia" w:eastAsiaTheme="majorEastAsia" w:hAnsiTheme="majorEastAsia" w:hint="eastAsia"/>
          <w:kern w:val="0"/>
          <w:sz w:val="36"/>
          <w:szCs w:val="36"/>
        </w:rPr>
      </w:pPr>
      <w:r w:rsidRPr="007914A7">
        <w:rPr>
          <w:rFonts w:asciiTheme="majorEastAsia" w:eastAsiaTheme="majorEastAsia" w:hAnsiTheme="majorEastAsia" w:hint="eastAsia"/>
          <w:kern w:val="0"/>
          <w:sz w:val="36"/>
          <w:szCs w:val="36"/>
        </w:rPr>
        <w:t>食品药品监管领域基层政务公开标准指引</w:t>
      </w:r>
      <w:hyperlink r:id="rId5" w:tooltip="微信" w:history="1">
        <w:r w:rsidRPr="007914A7">
          <w:rPr>
            <w:rFonts w:asciiTheme="majorEastAsia" w:eastAsiaTheme="majorEastAsia" w:hAnsiTheme="majorEastAsia" w:hint="eastAsia"/>
            <w:color w:val="808080"/>
            <w:kern w:val="0"/>
            <w:sz w:val="36"/>
            <w:szCs w:val="36"/>
          </w:rPr>
          <w:t> </w:t>
        </w:r>
      </w:hyperlink>
      <w:hyperlink r:id="rId6" w:tooltip="新浪微博" w:history="1">
        <w:r w:rsidRPr="007914A7">
          <w:rPr>
            <w:rFonts w:asciiTheme="majorEastAsia" w:eastAsiaTheme="majorEastAsia" w:hAnsiTheme="majorEastAsia" w:hint="eastAsia"/>
            <w:color w:val="808080"/>
            <w:kern w:val="0"/>
            <w:sz w:val="36"/>
            <w:szCs w:val="36"/>
          </w:rPr>
          <w:t> </w:t>
        </w:r>
      </w:hyperlink>
    </w:p>
    <w:p w:rsidR="00A37346" w:rsidRDefault="00A37346" w:rsidP="003813AA">
      <w:pPr>
        <w:ind w:firstLineChars="177" w:firstLine="425"/>
        <w:rPr>
          <w:rFonts w:ascii="宋体" w:eastAsia="宋体" w:hAnsi="宋体" w:hint="eastAsia"/>
          <w:kern w:val="0"/>
          <w:sz w:val="24"/>
        </w:rPr>
      </w:pPr>
    </w:p>
    <w:p w:rsidR="003813AA" w:rsidRPr="007914A7" w:rsidRDefault="003813AA" w:rsidP="007914A7">
      <w:pPr>
        <w:ind w:firstLineChars="177" w:firstLine="531"/>
        <w:rPr>
          <w:rFonts w:ascii="宋体" w:eastAsia="宋体" w:hAnsi="宋体" w:hint="eastAsia"/>
          <w:kern w:val="0"/>
          <w:sz w:val="30"/>
          <w:szCs w:val="30"/>
        </w:rPr>
      </w:pPr>
      <w:r w:rsidRPr="007914A7">
        <w:rPr>
          <w:rFonts w:ascii="宋体" w:eastAsia="宋体" w:hAnsi="宋体" w:hint="eastAsia"/>
          <w:kern w:val="0"/>
          <w:sz w:val="30"/>
          <w:szCs w:val="30"/>
        </w:rPr>
        <w:t>按照《国务院办公厅关于印发开展基层政务公开标准化规范化试点工作方案的通知》（国办发〔2017〕42号）和全国政务公开领导小组第一次会议工作部署，为推动</w:t>
      </w:r>
      <w:r w:rsidR="00A37346" w:rsidRPr="007914A7">
        <w:rPr>
          <w:rFonts w:ascii="宋体" w:eastAsia="宋体" w:hAnsi="宋体" w:hint="eastAsia"/>
          <w:kern w:val="0"/>
          <w:sz w:val="30"/>
          <w:szCs w:val="30"/>
        </w:rPr>
        <w:t>瀍河区</w:t>
      </w:r>
      <w:r w:rsidRPr="007914A7">
        <w:rPr>
          <w:rFonts w:ascii="宋体" w:eastAsia="宋体" w:hAnsi="宋体" w:hint="eastAsia"/>
          <w:kern w:val="0"/>
          <w:sz w:val="30"/>
          <w:szCs w:val="30"/>
        </w:rPr>
        <w:t>食品药品监管领域基层政务公开标准化规范化，提升基层政务公开和政务服务水平，特编制《食品药品监管领域基层政务公开标准指引》（以下简称《指引》）。</w:t>
      </w:r>
    </w:p>
    <w:p w:rsidR="003813AA" w:rsidRPr="007914A7" w:rsidRDefault="003813AA" w:rsidP="007914A7">
      <w:pPr>
        <w:ind w:firstLine="602"/>
        <w:rPr>
          <w:rFonts w:ascii="宋体" w:eastAsia="宋体" w:hAnsi="宋体" w:hint="eastAsia"/>
          <w:kern w:val="0"/>
          <w:sz w:val="30"/>
          <w:szCs w:val="30"/>
        </w:rPr>
      </w:pPr>
      <w:r w:rsidRPr="007914A7">
        <w:rPr>
          <w:rFonts w:ascii="宋体" w:eastAsia="宋体" w:hAnsi="宋体" w:hint="eastAsia"/>
          <w:b/>
          <w:bCs/>
          <w:kern w:val="0"/>
          <w:sz w:val="30"/>
          <w:szCs w:val="30"/>
        </w:rPr>
        <w:t>一、总体要求</w:t>
      </w:r>
    </w:p>
    <w:p w:rsidR="003813AA" w:rsidRPr="007914A7" w:rsidRDefault="003813AA" w:rsidP="007914A7">
      <w:pPr>
        <w:ind w:firstLine="600"/>
        <w:rPr>
          <w:rFonts w:ascii="宋体" w:eastAsia="宋体" w:hAnsi="宋体" w:hint="eastAsia"/>
          <w:kern w:val="0"/>
          <w:sz w:val="30"/>
          <w:szCs w:val="30"/>
        </w:rPr>
      </w:pPr>
      <w:r w:rsidRPr="007914A7">
        <w:rPr>
          <w:rFonts w:ascii="宋体" w:eastAsia="宋体" w:hAnsi="宋体" w:hint="eastAsia"/>
          <w:kern w:val="0"/>
          <w:sz w:val="30"/>
          <w:szCs w:val="30"/>
        </w:rPr>
        <w:t>开展基层政务公开标准化规范化工作，是运用标准化手段推进政务公开工作的重要举措，对于深化基层政务公开，提高行政效能，建设法治政府、服务型政府，全面提升基层政务公开和政务服务水平，具有重要意义。</w:t>
      </w:r>
    </w:p>
    <w:p w:rsidR="003813AA" w:rsidRPr="007914A7" w:rsidRDefault="003813AA" w:rsidP="007914A7">
      <w:pPr>
        <w:ind w:firstLine="600"/>
        <w:rPr>
          <w:rFonts w:ascii="宋体" w:eastAsia="宋体" w:hAnsi="宋体" w:hint="eastAsia"/>
          <w:kern w:val="0"/>
          <w:sz w:val="30"/>
          <w:szCs w:val="30"/>
        </w:rPr>
      </w:pPr>
      <w:r w:rsidRPr="007914A7">
        <w:rPr>
          <w:rFonts w:ascii="宋体" w:eastAsia="宋体" w:hAnsi="宋体" w:hint="eastAsia"/>
          <w:kern w:val="0"/>
          <w:sz w:val="30"/>
          <w:szCs w:val="30"/>
        </w:rPr>
        <w:t>本《指引》围绕食品药品监管工作中与群众关系密切的行政行为和服务事项，对基层公开事项及公开标准作出了规范化要求，是对基层试点工作成果的总结、归纳和提升。</w:t>
      </w:r>
    </w:p>
    <w:p w:rsidR="003813AA" w:rsidRPr="007914A7" w:rsidRDefault="003813AA" w:rsidP="007914A7">
      <w:pPr>
        <w:ind w:firstLine="602"/>
        <w:rPr>
          <w:rFonts w:ascii="宋体" w:eastAsia="宋体" w:hAnsi="宋体" w:hint="eastAsia"/>
          <w:kern w:val="0"/>
          <w:sz w:val="30"/>
          <w:szCs w:val="30"/>
        </w:rPr>
      </w:pPr>
      <w:r w:rsidRPr="007914A7">
        <w:rPr>
          <w:rFonts w:ascii="宋体" w:eastAsia="宋体" w:hAnsi="宋体" w:hint="eastAsia"/>
          <w:b/>
          <w:bCs/>
          <w:kern w:val="0"/>
          <w:sz w:val="30"/>
          <w:szCs w:val="30"/>
        </w:rPr>
        <w:t>二、适用范围</w:t>
      </w:r>
    </w:p>
    <w:p w:rsidR="003813AA" w:rsidRPr="007914A7" w:rsidRDefault="003813AA" w:rsidP="007914A7">
      <w:pPr>
        <w:ind w:firstLine="600"/>
        <w:rPr>
          <w:rFonts w:ascii="宋体" w:eastAsia="宋体" w:hAnsi="宋体" w:hint="eastAsia"/>
          <w:kern w:val="0"/>
          <w:sz w:val="30"/>
          <w:szCs w:val="30"/>
        </w:rPr>
      </w:pPr>
      <w:r w:rsidRPr="007914A7">
        <w:rPr>
          <w:rFonts w:ascii="宋体" w:eastAsia="宋体" w:hAnsi="宋体" w:hint="eastAsia"/>
          <w:kern w:val="0"/>
          <w:sz w:val="30"/>
          <w:szCs w:val="30"/>
        </w:rPr>
        <w:t>本《指引》适用于</w:t>
      </w:r>
      <w:r w:rsidR="00EB0049" w:rsidRPr="007914A7">
        <w:rPr>
          <w:rFonts w:ascii="宋体" w:eastAsia="宋体" w:hAnsi="宋体" w:hint="eastAsia"/>
          <w:kern w:val="0"/>
          <w:sz w:val="30"/>
          <w:szCs w:val="30"/>
        </w:rPr>
        <w:t>瀍河区</w:t>
      </w:r>
      <w:r w:rsidRPr="007914A7">
        <w:rPr>
          <w:rFonts w:ascii="宋体" w:eastAsia="宋体" w:hAnsi="宋体" w:hint="eastAsia"/>
          <w:kern w:val="0"/>
          <w:sz w:val="30"/>
          <w:szCs w:val="30"/>
        </w:rPr>
        <w:t>食品药品监管领域的基层政务公开工作。公开主体包括</w:t>
      </w:r>
      <w:r w:rsidR="00EB0049" w:rsidRPr="007914A7">
        <w:rPr>
          <w:rFonts w:ascii="宋体" w:eastAsia="宋体" w:hAnsi="宋体" w:hint="eastAsia"/>
          <w:kern w:val="0"/>
          <w:sz w:val="30"/>
          <w:szCs w:val="30"/>
        </w:rPr>
        <w:t>瀍河区</w:t>
      </w:r>
      <w:r w:rsidRPr="007914A7">
        <w:rPr>
          <w:rFonts w:ascii="宋体" w:eastAsia="宋体" w:hAnsi="宋体" w:hint="eastAsia"/>
          <w:kern w:val="0"/>
          <w:sz w:val="30"/>
          <w:szCs w:val="30"/>
        </w:rPr>
        <w:t>市场监管部门以及其他依法履行相关行政管理职能的组织。</w:t>
      </w:r>
    </w:p>
    <w:p w:rsidR="003813AA" w:rsidRPr="007914A7" w:rsidRDefault="003813AA" w:rsidP="007914A7">
      <w:pPr>
        <w:ind w:firstLine="602"/>
        <w:rPr>
          <w:rFonts w:ascii="宋体" w:eastAsia="宋体" w:hAnsi="宋体" w:hint="eastAsia"/>
          <w:kern w:val="0"/>
          <w:sz w:val="30"/>
          <w:szCs w:val="30"/>
        </w:rPr>
      </w:pPr>
      <w:r w:rsidRPr="007914A7">
        <w:rPr>
          <w:rFonts w:ascii="宋体" w:eastAsia="宋体" w:hAnsi="宋体" w:hint="eastAsia"/>
          <w:b/>
          <w:bCs/>
          <w:kern w:val="0"/>
          <w:sz w:val="30"/>
          <w:szCs w:val="30"/>
        </w:rPr>
        <w:t>三、公开事项与标准目录</w:t>
      </w:r>
    </w:p>
    <w:p w:rsidR="0067369E" w:rsidRPr="007914A7" w:rsidRDefault="003813AA" w:rsidP="007914A7">
      <w:pPr>
        <w:ind w:firstLineChars="150" w:firstLine="450"/>
        <w:rPr>
          <w:rFonts w:ascii="宋体" w:eastAsia="宋体" w:hAnsi="宋体" w:hint="eastAsia"/>
          <w:kern w:val="0"/>
          <w:sz w:val="30"/>
          <w:szCs w:val="30"/>
        </w:rPr>
      </w:pPr>
      <w:r w:rsidRPr="007914A7">
        <w:rPr>
          <w:rFonts w:ascii="宋体" w:eastAsia="宋体" w:hAnsi="宋体" w:hint="eastAsia"/>
          <w:kern w:val="0"/>
          <w:sz w:val="30"/>
          <w:szCs w:val="30"/>
        </w:rPr>
        <w:t>《食品药品监管领域基层政务公开标准目录》为表格形式（见附件），明确了食品药品监管基层政务公开4个方面19类公开</w:t>
      </w:r>
      <w:r w:rsidRPr="007914A7">
        <w:rPr>
          <w:rFonts w:ascii="宋体" w:eastAsia="宋体" w:hAnsi="宋体" w:hint="eastAsia"/>
          <w:kern w:val="0"/>
          <w:sz w:val="30"/>
          <w:szCs w:val="30"/>
        </w:rPr>
        <w:lastRenderedPageBreak/>
        <w:t>事项的公开内容、公开依据、公开时限、公开主体、公开渠道、公开对象、公开方式和公开层级，提供了开展食品药品监管领域基层政务公开工作的基础性标准框架。</w:t>
      </w:r>
    </w:p>
    <w:p w:rsidR="003813AA" w:rsidRPr="007914A7" w:rsidRDefault="003813AA" w:rsidP="007914A7">
      <w:pPr>
        <w:ind w:firstLine="602"/>
        <w:rPr>
          <w:rFonts w:ascii="宋体" w:eastAsia="宋体" w:hAnsi="宋体" w:hint="eastAsia"/>
          <w:kern w:val="0"/>
          <w:sz w:val="30"/>
          <w:szCs w:val="30"/>
        </w:rPr>
      </w:pPr>
      <w:r w:rsidRPr="007914A7">
        <w:rPr>
          <w:rFonts w:ascii="宋体" w:eastAsia="宋体" w:hAnsi="宋体" w:hint="eastAsia"/>
          <w:b/>
          <w:bCs/>
          <w:kern w:val="0"/>
          <w:sz w:val="30"/>
          <w:szCs w:val="30"/>
        </w:rPr>
        <w:t>四、公开工作流程规范</w:t>
      </w:r>
    </w:p>
    <w:p w:rsidR="003813AA" w:rsidRPr="007914A7" w:rsidRDefault="003813AA" w:rsidP="007914A7">
      <w:pPr>
        <w:ind w:firstLine="600"/>
        <w:rPr>
          <w:rFonts w:ascii="宋体" w:eastAsia="宋体" w:hAnsi="宋体" w:hint="eastAsia"/>
          <w:kern w:val="0"/>
          <w:sz w:val="30"/>
          <w:szCs w:val="30"/>
        </w:rPr>
      </w:pPr>
      <w:r w:rsidRPr="007914A7">
        <w:rPr>
          <w:rFonts w:ascii="宋体" w:eastAsia="宋体" w:hAnsi="宋体" w:hint="eastAsia"/>
          <w:kern w:val="0"/>
          <w:sz w:val="30"/>
          <w:szCs w:val="30"/>
        </w:rPr>
        <w:t>基层政务公开主体要按照决策、执行、管理、服务、结果“五公开”工作要求，注重全过程信息公开。要根据具体事项需要、本地社会公众需求，选择具有针对性的公开渠道，丰富拓展公开渠道和载体。要全面梳理和优化政务公开工作流程，健全工作机制，明确审查、发布、解读、回应等工作环节，推动各环节有序衔接，对于复杂的公开事项应编制公开工作流程图。同时，结合实际积极探索工作机制和方式方法创新，进一步推动政策解读、回应关切、公众参与等工作的标准化规范化，让群众看得到、易获取、好参与、能监督。</w:t>
      </w:r>
    </w:p>
    <w:p w:rsidR="003813AA" w:rsidRPr="007914A7" w:rsidRDefault="003813AA" w:rsidP="007914A7">
      <w:pPr>
        <w:ind w:firstLine="600"/>
        <w:rPr>
          <w:rFonts w:ascii="宋体" w:eastAsia="宋体" w:hAnsi="宋体" w:hint="eastAsia"/>
          <w:kern w:val="0"/>
          <w:sz w:val="30"/>
          <w:szCs w:val="30"/>
        </w:rPr>
      </w:pPr>
      <w:r w:rsidRPr="007914A7">
        <w:rPr>
          <w:rFonts w:ascii="宋体" w:eastAsia="宋体" w:hAnsi="宋体" w:hint="eastAsia"/>
          <w:kern w:val="0"/>
          <w:sz w:val="30"/>
          <w:szCs w:val="30"/>
        </w:rPr>
        <w:t> </w:t>
      </w:r>
    </w:p>
    <w:p w:rsidR="003813AA" w:rsidRPr="003813AA" w:rsidRDefault="003813AA" w:rsidP="007914A7">
      <w:pPr>
        <w:ind w:firstLineChars="0" w:firstLine="0"/>
        <w:rPr>
          <w:rFonts w:ascii="宋体" w:eastAsia="宋体" w:hAnsi="宋体" w:hint="eastAsia"/>
          <w:kern w:val="0"/>
          <w:sz w:val="24"/>
        </w:rPr>
      </w:pPr>
      <w:r w:rsidRPr="007914A7">
        <w:rPr>
          <w:rFonts w:ascii="宋体" w:eastAsia="宋体" w:hAnsi="宋体" w:hint="eastAsia"/>
          <w:kern w:val="0"/>
          <w:sz w:val="30"/>
          <w:szCs w:val="30"/>
        </w:rPr>
        <w:t>附件：食品药品监管领域基层政务公开标准目录</w:t>
      </w:r>
    </w:p>
    <w:p w:rsidR="002C5872" w:rsidRDefault="002C5872" w:rsidP="003813AA">
      <w:pPr>
        <w:ind w:firstLineChars="0" w:firstLine="0"/>
      </w:pPr>
    </w:p>
    <w:sectPr w:rsidR="002C5872" w:rsidSect="002C587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E86912"/>
    <w:multiLevelType w:val="multilevel"/>
    <w:tmpl w:val="81F8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13AA"/>
    <w:rsid w:val="000B779D"/>
    <w:rsid w:val="002C5872"/>
    <w:rsid w:val="003813AA"/>
    <w:rsid w:val="004A395D"/>
    <w:rsid w:val="0067369E"/>
    <w:rsid w:val="006B6313"/>
    <w:rsid w:val="007914A7"/>
    <w:rsid w:val="0096610C"/>
    <w:rsid w:val="009B235A"/>
    <w:rsid w:val="009F2719"/>
    <w:rsid w:val="00A37346"/>
    <w:rsid w:val="00C12CBF"/>
    <w:rsid w:val="00C148B7"/>
    <w:rsid w:val="00EB0049"/>
    <w:rsid w:val="00EB4A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719"/>
    <w:pPr>
      <w:widowControl w:val="0"/>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9F2719"/>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rsid w:val="009F2719"/>
    <w:rPr>
      <w:rFonts w:asciiTheme="majorHAnsi" w:hAnsiTheme="majorHAnsi" w:cstheme="majorBidi"/>
      <w:b/>
      <w:bCs/>
      <w:kern w:val="2"/>
      <w:sz w:val="32"/>
      <w:szCs w:val="32"/>
    </w:rPr>
  </w:style>
  <w:style w:type="character" w:styleId="a4">
    <w:name w:val="Subtle Reference"/>
    <w:basedOn w:val="a0"/>
    <w:uiPriority w:val="31"/>
    <w:qFormat/>
    <w:rsid w:val="009F2719"/>
    <w:rPr>
      <w:smallCaps/>
      <w:color w:val="ED7D31" w:themeColor="accent2"/>
      <w:u w:val="single"/>
    </w:rPr>
  </w:style>
  <w:style w:type="character" w:styleId="a5">
    <w:name w:val="Intense Reference"/>
    <w:basedOn w:val="a0"/>
    <w:uiPriority w:val="32"/>
    <w:qFormat/>
    <w:rsid w:val="009F2719"/>
    <w:rPr>
      <w:b/>
      <w:bCs/>
      <w:smallCaps/>
      <w:color w:val="ED7D31" w:themeColor="accent2"/>
      <w:spacing w:val="5"/>
      <w:u w:val="single"/>
    </w:rPr>
  </w:style>
  <w:style w:type="character" w:customStyle="1" w:styleId="font31">
    <w:name w:val="font31"/>
    <w:basedOn w:val="a0"/>
    <w:qFormat/>
    <w:rsid w:val="009F2719"/>
    <w:rPr>
      <w:rFonts w:ascii="宋体" w:eastAsia="宋体" w:hAnsi="宋体" w:cs="宋体" w:hint="eastAsia"/>
      <w:color w:val="000000"/>
      <w:sz w:val="22"/>
      <w:szCs w:val="22"/>
      <w:u w:val="none"/>
    </w:rPr>
  </w:style>
  <w:style w:type="character" w:styleId="a6">
    <w:name w:val="Hyperlink"/>
    <w:basedOn w:val="a0"/>
    <w:uiPriority w:val="99"/>
    <w:semiHidden/>
    <w:unhideWhenUsed/>
    <w:rsid w:val="003813AA"/>
    <w:rPr>
      <w:color w:val="0000FF"/>
      <w:u w:val="single"/>
    </w:rPr>
  </w:style>
  <w:style w:type="paragraph" w:styleId="a7">
    <w:name w:val="Normal (Web)"/>
    <w:basedOn w:val="a"/>
    <w:uiPriority w:val="99"/>
    <w:semiHidden/>
    <w:unhideWhenUsed/>
    <w:rsid w:val="003813AA"/>
    <w:pPr>
      <w:widowControl/>
      <w:spacing w:before="100" w:beforeAutospacing="1" w:after="100" w:afterAutospacing="1"/>
      <w:ind w:firstLineChars="0" w:firstLine="0"/>
      <w:jc w:val="left"/>
    </w:pPr>
    <w:rPr>
      <w:rFonts w:ascii="宋体" w:eastAsia="宋体" w:hAnsi="宋体" w:cs="宋体"/>
      <w:kern w:val="0"/>
      <w:sz w:val="24"/>
    </w:rPr>
  </w:style>
  <w:style w:type="character" w:styleId="a8">
    <w:name w:val="Strong"/>
    <w:basedOn w:val="a0"/>
    <w:uiPriority w:val="22"/>
    <w:qFormat/>
    <w:rsid w:val="003813AA"/>
    <w:rPr>
      <w:b/>
      <w:bCs/>
    </w:rPr>
  </w:style>
</w:styles>
</file>

<file path=word/webSettings.xml><?xml version="1.0" encoding="utf-8"?>
<w:webSettings xmlns:r="http://schemas.openxmlformats.org/officeDocument/2006/relationships" xmlns:w="http://schemas.openxmlformats.org/wordprocessingml/2006/main">
  <w:divs>
    <w:div w:id="1920215148">
      <w:bodyDiv w:val="1"/>
      <w:marLeft w:val="0"/>
      <w:marRight w:val="0"/>
      <w:marTop w:val="0"/>
      <w:marBottom w:val="0"/>
      <w:divBdr>
        <w:top w:val="none" w:sz="0" w:space="0" w:color="auto"/>
        <w:left w:val="none" w:sz="0" w:space="0" w:color="auto"/>
        <w:bottom w:val="none" w:sz="0" w:space="0" w:color="auto"/>
        <w:right w:val="none" w:sz="0" w:space="0" w:color="auto"/>
      </w:divBdr>
      <w:divsChild>
        <w:div w:id="1417165805">
          <w:marLeft w:val="0"/>
          <w:marRight w:val="0"/>
          <w:marTop w:val="0"/>
          <w:marBottom w:val="0"/>
          <w:divBdr>
            <w:top w:val="none" w:sz="0" w:space="0" w:color="auto"/>
            <w:left w:val="none" w:sz="0" w:space="0" w:color="auto"/>
            <w:bottom w:val="none" w:sz="0" w:space="0" w:color="auto"/>
            <w:right w:val="none" w:sz="0" w:space="0" w:color="auto"/>
          </w:divBdr>
          <w:divsChild>
            <w:div w:id="1451050698">
              <w:marLeft w:val="0"/>
              <w:marRight w:val="0"/>
              <w:marTop w:val="0"/>
              <w:marBottom w:val="0"/>
              <w:divBdr>
                <w:top w:val="none" w:sz="0" w:space="0" w:color="auto"/>
                <w:left w:val="none" w:sz="0" w:space="0" w:color="auto"/>
                <w:bottom w:val="none" w:sz="0" w:space="0" w:color="auto"/>
                <w:right w:val="none" w:sz="0" w:space="0" w:color="auto"/>
              </w:divBdr>
              <w:divsChild>
                <w:div w:id="905652366">
                  <w:marLeft w:val="0"/>
                  <w:marRight w:val="0"/>
                  <w:marTop w:val="0"/>
                  <w:marBottom w:val="0"/>
                  <w:divBdr>
                    <w:top w:val="none" w:sz="0" w:space="0" w:color="auto"/>
                    <w:left w:val="none" w:sz="0" w:space="0" w:color="auto"/>
                    <w:bottom w:val="none" w:sz="0" w:space="0" w:color="auto"/>
                    <w:right w:val="none" w:sz="0" w:space="0" w:color="auto"/>
                  </w:divBdr>
                  <w:divsChild>
                    <w:div w:id="97826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040385">
          <w:marLeft w:val="0"/>
          <w:marRight w:val="0"/>
          <w:marTop w:val="0"/>
          <w:marBottom w:val="0"/>
          <w:divBdr>
            <w:top w:val="none" w:sz="0" w:space="0" w:color="auto"/>
            <w:left w:val="none" w:sz="0" w:space="0" w:color="auto"/>
            <w:bottom w:val="none" w:sz="0" w:space="0" w:color="auto"/>
            <w:right w:val="none" w:sz="0" w:space="0" w:color="auto"/>
          </w:divBdr>
          <w:divsChild>
            <w:div w:id="44827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mr.gov.cn/zw/xxgk/gkgd/202004/t20200414_314221.html" TargetMode="External"/><Relationship Id="rId5" Type="http://schemas.openxmlformats.org/officeDocument/2006/relationships/hyperlink" Target="http://www.samr.gov.cn/zw/xxgk/gkgd/202004/t20200414_31422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2020-09-10T10:19:00Z</dcterms:created>
  <dcterms:modified xsi:type="dcterms:W3CDTF">2020-09-10T10:30:00Z</dcterms:modified>
</cp:coreProperties>
</file>