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0"/>
          <w:szCs w:val="40"/>
          <w:lang w:eastAsia="zh-CN"/>
        </w:rPr>
      </w:pPr>
      <w:r>
        <w:rPr>
          <w:rFonts w:hint="eastAsia"/>
          <w:sz w:val="40"/>
          <w:szCs w:val="40"/>
          <w:lang w:eastAsia="zh-CN"/>
        </w:rPr>
        <w:t>瀍河回族区公共文化服务领域基层政务公开标准目录</w:t>
      </w:r>
    </w:p>
    <w:p/>
    <w:tbl>
      <w:tblP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06"/>
        <w:gridCol w:w="673"/>
        <w:gridCol w:w="1461"/>
        <w:gridCol w:w="1603"/>
        <w:gridCol w:w="1800"/>
        <w:gridCol w:w="1628"/>
        <w:gridCol w:w="1264"/>
        <w:gridCol w:w="1277"/>
        <w:gridCol w:w="660"/>
        <w:gridCol w:w="647"/>
        <w:gridCol w:w="519"/>
        <w:gridCol w:w="660"/>
        <w:gridCol w:w="660"/>
        <w:gridCol w:w="69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540"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序号</w:t>
            </w:r>
          </w:p>
        </w:tc>
        <w:tc>
          <w:tcPr>
            <w:tcW w:w="23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公开事项</w:t>
            </w:r>
          </w:p>
        </w:tc>
        <w:tc>
          <w:tcPr>
            <w:tcW w:w="178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公开内容（要素）</w:t>
            </w:r>
          </w:p>
        </w:tc>
        <w:tc>
          <w:tcPr>
            <w:tcW w:w="1980"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公开依据</w:t>
            </w:r>
          </w:p>
        </w:tc>
        <w:tc>
          <w:tcPr>
            <w:tcW w:w="181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公开时限</w:t>
            </w:r>
          </w:p>
        </w:tc>
        <w:tc>
          <w:tcPr>
            <w:tcW w:w="14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公开主体</w:t>
            </w:r>
          </w:p>
        </w:tc>
        <w:tc>
          <w:tcPr>
            <w:tcW w:w="1440"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公开渠道和载体</w:t>
            </w:r>
          </w:p>
        </w:tc>
        <w:tc>
          <w:tcPr>
            <w:tcW w:w="142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公开对象</w:t>
            </w:r>
          </w:p>
        </w:tc>
        <w:tc>
          <w:tcPr>
            <w:tcW w:w="12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公开方式</w:t>
            </w:r>
          </w:p>
        </w:tc>
        <w:tc>
          <w:tcPr>
            <w:tcW w:w="144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eastAsia" w:ascii="Verdana" w:hAnsi="Verdana" w:eastAsia="Verdana" w:cs="Verdana"/>
                <w:i w:val="0"/>
                <w:caps w:val="0"/>
                <w:color w:val="2B2B2B"/>
                <w:spacing w:val="0"/>
                <w:sz w:val="21"/>
                <w:szCs w:val="21"/>
              </w:rPr>
            </w:pP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一级事项</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二级事项</w:t>
            </w:r>
          </w:p>
        </w:tc>
        <w:tc>
          <w:tcPr>
            <w:tcW w:w="178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98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81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4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44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全社会</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特定群众</w:t>
            </w: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主动</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依申请公开</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县级</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许可</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互联网上网服务营业场所经营许可</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1.办事指南：主要包括事项名称、设定依据、申请条件、办理材料、办理地点、办理时间、联系电话、办理流程、办理期限、申请行政许可需要提交的全部材料目录及办理情况;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《行政许可法》、《政府信息公开条例》、《互联网上网服务营业场所管理条例》</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bookmarkStart w:id="0" w:name="_GoBack"/>
            <w:bookmarkEnd w:id="0"/>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文艺表演团体设立审批</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《行政许可法》、《政府信息公开条例》、《营业性演出管理条例》、《文化部关于落实“先照后证”改进文化市场行政审批工作的通知》</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许可</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营业性演出审批</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同上</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许可</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娱乐场所经营许可</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《行政许可法》；《政府信息公开条例》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5</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县级文物保护单位保护范围内其他建设工程或者爆破、钻探、挖掘等作业审批</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《行政许可法》；《政府信息公开条例》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6</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县级文物保护单位建设控制地带内建设工程设计方案审批</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《行政许可法》；《政府信息公开条例》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7</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县级文物保护单位实施原址保护措施审批</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《行政许可法》；《政府信息公开条例》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8</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许可</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县级文物保护单位和未核定为文物保护单位的不可移动文物修缮审批</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《行政许可法》；《政府信息公开条例》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9</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核定为县级文物保护单位的属于国家所有的纪念建筑物或者古建筑改变用途审批</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《行政许可法》；《政府信息公开条例》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10</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非国有文物收藏单位和其他单位举办展览需借用国有馆藏二级以下文物审批</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1.办事指南：内容同上;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2.行政许可决定。</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《行政许可法》、《政府信息公开条例》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 ■公开查阅点 ■政务服务中心</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11</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对互联网上网服务营业场所违法行为的行政处罚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12</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对娱乐场所违法行为的行政处罚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13</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对营业性演出违法行为的行政处罚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14</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对艺术品经营违法行为的行政处罚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15</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对网络游戏运营单位违法行为的行政处罚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16</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对社会艺术水平考级活动违法行为的行政处罚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17</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对互联网文化单位违法行为的行政处罚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18</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对擅自在文物保护单位的保护范围内进行建设工程或者爆破、钻探、挖掘等作业的行为进行处罚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19</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对在文物保护单位的建设控制地带内进行建设工程，其工程设计方案未经文物行政部门同意、报城乡建设规划部门批准，对文物保护单位的历史风貌造成破坏的行为进行处罚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20</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对擅自迁移、拆除不可移动文物的行为进行处罚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21</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对擅自修缮不可移动文物，明显改变文物原状的行为进行处罚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22</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对擅自在原址重建已全部毁坏的不可移动文物，造成文物破坏的行为进行处罚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23</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对施工单位未取得文物保护工程资质证书，擅自从事文物修缮、迁移、重建的行为进行处罚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24</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对转让或者抵押国有不可移动文物的行为进行处罚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25</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对将国有不可移动文物作为企业资产经营的行为进行处罚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26</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对将非国有不可移动文物转让或者抵押给外国人的行为进行处罚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27</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对擅自改变国有文物保护单位用途的行为进行处罚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28</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对文物收藏单位未按照国家有关规定配备防火、防盗、防自然损坏的设施的行为进行处罚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29</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对国有文物收藏单位法定代表人离任时未按照馆藏文物档案移交馆藏文物，或者所移交的馆藏文物与馆藏文物档案不符的行为进行处罚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30</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对将国有馆藏文物赠与、出租或者出售给其他单位、个人的行为进行处罚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31</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对违法借用、交换、处置国有馆藏文物的行为进行处罚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32</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对违法挪用或者侵占依法调拨、交换、出借文物所得补偿费用的行为进行处罚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33</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对发现文物隐匿不报，或者拒不上交的行为进行处罚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34</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对未按照规定移交拣选文物的行为进行处罚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35</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对未取得相应等级的文物保护工程资质证书，擅自承担文物保护单位的修缮、迁移、重建工程逾期不改正，或者造成严重后果的行为进行处罚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36</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处罚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对未取得资质证书，擅自从事馆藏文物的修复、复制、拓印活动的行为进行处罚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37</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对擅自修复、复制、拓印馆藏珍贵文物的行为进行处罚</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4.处罚结果。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执法决定信息在决定作出之日起7个工作日内公开，其他相关信息形成或变更之日起20个工作日内公开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38</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强制</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对擅自从事互联网上网服务经营活动场所的查封，专用工具、设备的扣押</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3.处理依据；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4.处理结果。</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39</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服务</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公共文化机构免费开放信息</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1.机构名称；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3.机构地址；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5.临时停止开放信息。</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40</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特殊群体公共文化服务信息</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1.机构名称；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3.机构地址；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5.临时停止开放信息。</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《残疾人保障法》、《政府信息公开条例》、《中共中央办公厅 国务院办公厅印发关于加快构建现代公共文化服务体系的意见》</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41</w:t>
            </w:r>
          </w:p>
        </w:tc>
        <w:tc>
          <w:tcPr>
            <w:tcW w:w="7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服务</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组织开展群众文化活动</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1.机构名称；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2.开放时间；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3.机构地址；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5.临时停止活动信息。</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《政府信息公开条例》、《文化馆服务标准》</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42</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下基层辅导、演出、展览和指导基层群众文化活动</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2.活动单位；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3.活动地址；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5.临时停止活动信息。</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《政府信息公开条例》、《文化馆服务标准》</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43</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举办各类展览、讲座信息</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2.活动单位；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3.活动地址；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5.临时停止活动信息。</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《政府信息公开条例》、《乡镇综合文化站管理办法》</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44</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辅导和培训基层文化骨干</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1.培训时间；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2.培训单位；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3.培训地址；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5.临时停止活动信息。</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《政府信息公开条例》、《乡镇综合文化站管理办法》</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45</w:t>
            </w:r>
          </w:p>
        </w:tc>
        <w:tc>
          <w:tcPr>
            <w:tcW w:w="7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default" w:ascii="Verdana" w:hAnsi="Verdana" w:eastAsia="Verdana" w:cs="Verdana"/>
                <w:i w:val="0"/>
                <w:caps w:val="0"/>
                <w:color w:val="2B2B2B"/>
                <w:spacing w:val="0"/>
                <w:sz w:val="21"/>
                <w:szCs w:val="21"/>
              </w:rPr>
            </w:pP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非物质文化遗产展示传播活动</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1.活动时间；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2.组织单位；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3.活动地址；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5.临时停止活动信息。</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《非物质文化遗产法》、《政府信息公开条例》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46</w:t>
            </w:r>
          </w:p>
        </w:tc>
        <w:tc>
          <w:tcPr>
            <w:tcW w:w="73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公共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服务</w:t>
            </w:r>
          </w:p>
        </w:tc>
        <w:tc>
          <w:tcPr>
            <w:tcW w:w="16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文博单位名录</w:t>
            </w:r>
          </w:p>
        </w:tc>
        <w:tc>
          <w:tcPr>
            <w:tcW w:w="17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文物保护管理机构和博物馆名录</w:t>
            </w:r>
          </w:p>
        </w:tc>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《政府信息公开条例》</w:t>
            </w:r>
          </w:p>
        </w:tc>
        <w:tc>
          <w:tcPr>
            <w:tcW w:w="181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信息形成或变更之日起20个工作日内公开</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lang w:eastAsia="zh-CN"/>
              </w:rPr>
            </w:pPr>
            <w:r>
              <w:rPr>
                <w:rFonts w:hint="eastAsia" w:ascii="宋体" w:hAnsi="宋体" w:eastAsia="宋体" w:cs="宋体"/>
                <w:i w:val="0"/>
                <w:caps w:val="0"/>
                <w:color w:val="2B2B2B"/>
                <w:spacing w:val="0"/>
                <w:sz w:val="21"/>
                <w:szCs w:val="21"/>
                <w:bdr w:val="none" w:color="auto" w:sz="0" w:space="0"/>
                <w:lang w:eastAsia="zh-CN"/>
              </w:rPr>
              <w:t>区文化和旅游局</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■政府网站</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5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ind w:left="0" w:firstLine="420"/>
              <w:jc w:val="left"/>
              <w:rPr>
                <w:rFonts w:hint="default" w:ascii="Verdana" w:hAnsi="Verdana" w:eastAsia="Verdana" w:cs="Verdana"/>
                <w:i w:val="0"/>
                <w:caps w:val="0"/>
                <w:color w:val="2B2B2B"/>
                <w:spacing w:val="0"/>
                <w:sz w:val="21"/>
                <w:szCs w:val="21"/>
              </w:rPr>
            </w:pP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color w:val="2B2B2B"/>
                <w:sz w:val="21"/>
                <w:szCs w:val="21"/>
              </w:rPr>
            </w:pPr>
            <w:r>
              <w:rPr>
                <w:rFonts w:hint="eastAsia" w:ascii="宋体" w:hAnsi="宋体" w:eastAsia="宋体" w:cs="宋体"/>
                <w:i w:val="0"/>
                <w:caps w:val="0"/>
                <w:color w:val="2B2B2B"/>
                <w:spacing w:val="0"/>
                <w:sz w:val="21"/>
                <w:szCs w:val="21"/>
                <w:bdr w:val="none" w:color="auto" w:sz="0" w:space="0"/>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4E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2020-09-11T08:54:12Z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