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6"/>
        </w:rPr>
      </w:pPr>
      <w:r>
        <w:rPr>
          <w:rFonts w:hint="eastAsia" w:ascii="仿宋" w:hAnsi="仿宋" w:eastAsia="仿宋" w:cs="仿宋"/>
          <w:sz w:val="32"/>
          <w:szCs w:val="36"/>
        </w:rPr>
        <w:t>申请人</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马某</w:t>
      </w:r>
      <w:r>
        <w:rPr>
          <w:rFonts w:hint="eastAsia" w:ascii="华文仿宋" w:hAnsi="华文仿宋" w:eastAsia="华文仿宋" w:cs="华文仿宋"/>
          <w:sz w:val="32"/>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被申请人</w:t>
      </w:r>
      <w:r>
        <w:rPr>
          <w:rFonts w:hint="eastAsia" w:ascii="仿宋" w:hAnsi="仿宋" w:eastAsia="仿宋" w:cs="仿宋"/>
          <w:sz w:val="32"/>
          <w:szCs w:val="36"/>
          <w:lang w:eastAsia="zh-CN"/>
        </w:rPr>
        <w:t>：</w:t>
      </w:r>
      <w:r>
        <w:rPr>
          <w:rFonts w:hint="eastAsia" w:ascii="华文仿宋" w:hAnsi="华文仿宋" w:eastAsia="华文仿宋" w:cs="华文仿宋"/>
          <w:sz w:val="32"/>
          <w:szCs w:val="36"/>
        </w:rPr>
        <w:t>洛阳市公安局瀍河分局</w:t>
      </w:r>
      <w:r>
        <w:rPr>
          <w:rFonts w:hint="eastAsia" w:ascii="仿宋" w:hAnsi="仿宋" w:eastAsia="仿宋" w:cs="仿宋"/>
          <w:sz w:val="32"/>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申请人对被申请人202</w:t>
      </w:r>
      <w:r>
        <w:rPr>
          <w:rFonts w:hint="eastAsia" w:ascii="仿宋" w:hAnsi="仿宋" w:eastAsia="仿宋" w:cs="仿宋"/>
          <w:sz w:val="32"/>
          <w:szCs w:val="36"/>
          <w:lang w:val="en-US" w:eastAsia="zh-CN"/>
        </w:rPr>
        <w:t>3年9</w:t>
      </w:r>
      <w:r>
        <w:rPr>
          <w:rFonts w:hint="eastAsia" w:ascii="仿宋" w:hAnsi="仿宋" w:eastAsia="仿宋" w:cs="仿宋"/>
          <w:sz w:val="32"/>
          <w:szCs w:val="36"/>
        </w:rPr>
        <w:t>月</w:t>
      </w:r>
      <w:r>
        <w:rPr>
          <w:rFonts w:hint="eastAsia" w:ascii="仿宋" w:hAnsi="仿宋" w:eastAsia="仿宋" w:cs="仿宋"/>
          <w:sz w:val="32"/>
          <w:szCs w:val="36"/>
          <w:lang w:val="en-US" w:eastAsia="zh-CN"/>
        </w:rPr>
        <w:t>18日</w:t>
      </w:r>
      <w:r>
        <w:rPr>
          <w:rFonts w:hint="eastAsia" w:ascii="仿宋" w:hAnsi="仿宋" w:eastAsia="仿宋" w:cs="仿宋"/>
          <w:sz w:val="32"/>
          <w:szCs w:val="36"/>
        </w:rPr>
        <w:t>作出的《</w:t>
      </w:r>
      <w:r>
        <w:rPr>
          <w:rFonts w:hint="eastAsia" w:ascii="仿宋" w:hAnsi="仿宋" w:eastAsia="仿宋" w:cs="仿宋"/>
          <w:sz w:val="32"/>
          <w:szCs w:val="36"/>
          <w:lang w:val="en-US" w:eastAsia="zh-CN"/>
        </w:rPr>
        <w:t>不予行政处罚决定书</w:t>
      </w:r>
      <w:r>
        <w:rPr>
          <w:rFonts w:hint="eastAsia" w:ascii="仿宋" w:hAnsi="仿宋" w:eastAsia="仿宋" w:cs="仿宋"/>
          <w:sz w:val="32"/>
          <w:szCs w:val="36"/>
        </w:rPr>
        <w:t>》</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洛公瀍河（瀍河）不罚决字</w:t>
      </w:r>
      <w:r>
        <w:rPr>
          <w:rFonts w:hint="eastAsia" w:ascii="仿宋" w:hAnsi="仿宋" w:eastAsia="仿宋" w:cs="仿宋"/>
          <w:sz w:val="32"/>
          <w:szCs w:val="28"/>
        </w:rPr>
        <w:t>〔202</w:t>
      </w:r>
      <w:r>
        <w:rPr>
          <w:rFonts w:hint="eastAsia" w:ascii="仿宋" w:hAnsi="仿宋" w:eastAsia="仿宋" w:cs="仿宋"/>
          <w:sz w:val="32"/>
          <w:szCs w:val="28"/>
          <w:lang w:val="en-US" w:eastAsia="zh-CN"/>
        </w:rPr>
        <w:t>3</w:t>
      </w:r>
      <w:r>
        <w:rPr>
          <w:rFonts w:hint="eastAsia" w:ascii="仿宋" w:hAnsi="仿宋" w:eastAsia="仿宋" w:cs="仿宋"/>
          <w:sz w:val="32"/>
          <w:szCs w:val="28"/>
        </w:rPr>
        <w:t>〕</w:t>
      </w:r>
      <w:r>
        <w:rPr>
          <w:rFonts w:hint="eastAsia" w:ascii="仿宋" w:hAnsi="仿宋" w:eastAsia="仿宋" w:cs="仿宋"/>
          <w:sz w:val="32"/>
          <w:szCs w:val="28"/>
          <w:lang w:val="en-US" w:eastAsia="zh-CN"/>
        </w:rPr>
        <w:t>27</w:t>
      </w:r>
      <w:r>
        <w:rPr>
          <w:rFonts w:hint="eastAsia" w:ascii="仿宋" w:hAnsi="仿宋" w:eastAsia="仿宋" w:cs="仿宋"/>
          <w:sz w:val="32"/>
          <w:szCs w:val="28"/>
        </w:rPr>
        <w:t>号</w:t>
      </w:r>
      <w:r>
        <w:rPr>
          <w:rFonts w:hint="eastAsia" w:ascii="仿宋" w:hAnsi="仿宋" w:eastAsia="仿宋" w:cs="仿宋"/>
          <w:sz w:val="32"/>
          <w:szCs w:val="36"/>
          <w:lang w:eastAsia="zh-CN"/>
        </w:rPr>
        <w:t>）</w:t>
      </w:r>
      <w:r>
        <w:rPr>
          <w:rFonts w:hint="eastAsia" w:ascii="仿宋" w:hAnsi="仿宋" w:eastAsia="仿宋" w:cs="仿宋"/>
          <w:sz w:val="32"/>
          <w:szCs w:val="36"/>
        </w:rPr>
        <w:t>不服，向本机关提出行政复议申请。本机关收到申请后，依法予以受理，现已审理终结。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6"/>
          <w:lang w:eastAsia="zh-CN"/>
        </w:rPr>
      </w:pPr>
      <w:r>
        <w:rPr>
          <w:rFonts w:hint="eastAsia" w:ascii="仿宋" w:hAnsi="仿宋" w:eastAsia="仿宋" w:cs="仿宋"/>
          <w:b/>
          <w:bCs/>
          <w:sz w:val="32"/>
          <w:szCs w:val="36"/>
        </w:rPr>
        <w:t>申请人请求</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撤销</w:t>
      </w:r>
      <w:r>
        <w:rPr>
          <w:rFonts w:hint="eastAsia" w:ascii="仿宋" w:hAnsi="仿宋" w:eastAsia="仿宋" w:cs="仿宋"/>
          <w:sz w:val="32"/>
          <w:szCs w:val="36"/>
        </w:rPr>
        <w:t>被申请人于202</w:t>
      </w:r>
      <w:r>
        <w:rPr>
          <w:rFonts w:hint="eastAsia" w:ascii="仿宋" w:hAnsi="仿宋" w:eastAsia="仿宋" w:cs="仿宋"/>
          <w:sz w:val="32"/>
          <w:szCs w:val="36"/>
          <w:lang w:val="en-US" w:eastAsia="zh-CN"/>
        </w:rPr>
        <w:t>3年9</w:t>
      </w:r>
      <w:r>
        <w:rPr>
          <w:rFonts w:hint="eastAsia" w:ascii="仿宋" w:hAnsi="仿宋" w:eastAsia="仿宋" w:cs="仿宋"/>
          <w:sz w:val="32"/>
          <w:szCs w:val="36"/>
        </w:rPr>
        <w:t>月</w:t>
      </w:r>
      <w:r>
        <w:rPr>
          <w:rFonts w:hint="eastAsia" w:ascii="仿宋" w:hAnsi="仿宋" w:eastAsia="仿宋" w:cs="仿宋"/>
          <w:sz w:val="32"/>
          <w:szCs w:val="36"/>
          <w:lang w:val="en-US" w:eastAsia="zh-CN"/>
        </w:rPr>
        <w:t>18日</w:t>
      </w:r>
      <w:r>
        <w:rPr>
          <w:rFonts w:hint="eastAsia" w:ascii="仿宋" w:hAnsi="仿宋" w:eastAsia="仿宋" w:cs="仿宋"/>
          <w:sz w:val="32"/>
          <w:szCs w:val="36"/>
        </w:rPr>
        <w:t>作出的《</w:t>
      </w:r>
      <w:r>
        <w:rPr>
          <w:rFonts w:hint="eastAsia" w:ascii="仿宋" w:hAnsi="仿宋" w:eastAsia="仿宋" w:cs="仿宋"/>
          <w:sz w:val="32"/>
          <w:szCs w:val="36"/>
          <w:lang w:val="en-US" w:eastAsia="zh-CN"/>
        </w:rPr>
        <w:t>不予行政处罚决定书</w:t>
      </w:r>
      <w:r>
        <w:rPr>
          <w:rFonts w:hint="eastAsia" w:ascii="仿宋" w:hAnsi="仿宋" w:eastAsia="仿宋" w:cs="仿宋"/>
          <w:sz w:val="32"/>
          <w:szCs w:val="36"/>
        </w:rPr>
        <w:t>》</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洛公瀍河（瀍河）不罚决字</w:t>
      </w:r>
      <w:r>
        <w:rPr>
          <w:rFonts w:hint="eastAsia" w:ascii="仿宋" w:hAnsi="仿宋" w:eastAsia="仿宋" w:cs="仿宋"/>
          <w:sz w:val="32"/>
          <w:szCs w:val="28"/>
        </w:rPr>
        <w:t>〔202</w:t>
      </w:r>
      <w:r>
        <w:rPr>
          <w:rFonts w:hint="eastAsia" w:ascii="仿宋" w:hAnsi="仿宋" w:eastAsia="仿宋" w:cs="仿宋"/>
          <w:sz w:val="32"/>
          <w:szCs w:val="28"/>
          <w:lang w:val="en-US" w:eastAsia="zh-CN"/>
        </w:rPr>
        <w:t>3</w:t>
      </w:r>
      <w:r>
        <w:rPr>
          <w:rFonts w:hint="eastAsia" w:ascii="仿宋" w:hAnsi="仿宋" w:eastAsia="仿宋" w:cs="仿宋"/>
          <w:sz w:val="32"/>
          <w:szCs w:val="28"/>
        </w:rPr>
        <w:t>〕</w:t>
      </w:r>
      <w:r>
        <w:rPr>
          <w:rFonts w:hint="eastAsia" w:ascii="仿宋" w:hAnsi="仿宋" w:eastAsia="仿宋" w:cs="仿宋"/>
          <w:sz w:val="32"/>
          <w:szCs w:val="28"/>
          <w:lang w:val="en-US" w:eastAsia="zh-CN"/>
        </w:rPr>
        <w:t>27</w:t>
      </w:r>
      <w:r>
        <w:rPr>
          <w:rFonts w:hint="eastAsia" w:ascii="仿宋" w:hAnsi="仿宋" w:eastAsia="仿宋" w:cs="仿宋"/>
          <w:sz w:val="32"/>
          <w:szCs w:val="28"/>
        </w:rPr>
        <w:t>号</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重新调查处理</w:t>
      </w:r>
      <w:r>
        <w:rPr>
          <w:rFonts w:hint="eastAsia" w:ascii="仿宋" w:hAnsi="仿宋" w:eastAsia="仿宋" w:cs="仿宋"/>
          <w:sz w:val="32"/>
          <w:szCs w:val="36"/>
          <w:lang w:eastAsia="zh-CN"/>
        </w:rPr>
        <w:t>。</w:t>
      </w:r>
    </w:p>
    <w:p>
      <w:pPr>
        <w:pStyle w:val="2"/>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sz w:val="32"/>
          <w:szCs w:val="36"/>
          <w:lang w:val="en-US" w:eastAsia="zh-CN"/>
        </w:rPr>
      </w:pPr>
      <w:r>
        <w:rPr>
          <w:rFonts w:hint="eastAsia" w:ascii="仿宋" w:hAnsi="仿宋" w:eastAsia="仿宋" w:cs="仿宋"/>
          <w:b/>
          <w:bCs/>
          <w:sz w:val="32"/>
          <w:szCs w:val="36"/>
        </w:rPr>
        <w:t>申请人称</w:t>
      </w:r>
      <w:r>
        <w:rPr>
          <w:rFonts w:hint="eastAsia" w:ascii="仿宋" w:hAnsi="仿宋" w:eastAsia="仿宋" w:cs="仿宋"/>
          <w:b/>
          <w:bCs/>
          <w:sz w:val="32"/>
          <w:szCs w:val="36"/>
          <w:lang w:eastAsia="zh-CN"/>
        </w:rPr>
        <w:t>：</w:t>
      </w:r>
      <w:r>
        <w:rPr>
          <w:rFonts w:hint="eastAsia" w:ascii="仿宋" w:hAnsi="仿宋" w:eastAsia="仿宋" w:cs="仿宋"/>
          <w:sz w:val="32"/>
          <w:szCs w:val="36"/>
          <w:lang w:val="en-US" w:eastAsia="zh-CN"/>
        </w:rPr>
        <w:t>决定书中说现场无监控、无其他证人，这与事实不符：事实是现场有多个监控，张某文家1个、申请人马某家2个，只不过申请人家中有一个未录像，张某栓正是从该监控中看到现场才报的警。证人有申请人三子、报警人张某栓，可至今为止，被申请人未对张某栓做笔录。</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决定书认定事实不清，依据的时间不对，事实是6月12日16时20分左右，申请人从张某仙家回自己家，到家后发现家中路上有铁栏杆挡住去路，当时张某杰拿着铁锤、张某文拿着焊机，申请人就去拉铁栏杆，张某杰不让拉，在拉扯中张某杰拿铁锤打到申请人头上，把申请人头上打了一个大包，张某文又从另一端拉住申请人拐杖，又把申请人推倒在地，导致申请人腰部L1骨折。2023年6月12日16时30分左右，申请人儿子张某栓在第三人民医院心内科住院，通过手机从监控中看到申请人上前阻止张某文父子设的障碍，并报了警，并看到张某文与申请人抢夺拐杖，张某文将拐杖拉断，使申请人摔倒在地导致腰部骨折。随后申请人大女儿来到现场，发现申请人倒在地上，头上有大包，拐杖找不到，张某杰手举大锤，后来拐杖是从张某文手中递过来的。</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6"/>
          <w:lang w:val="en-US" w:eastAsia="zh-CN"/>
        </w:rPr>
      </w:pPr>
      <w:r>
        <w:rPr>
          <w:rFonts w:hint="eastAsia" w:ascii="仿宋" w:hAnsi="仿宋" w:eastAsia="仿宋" w:cs="仿宋"/>
          <w:sz w:val="32"/>
          <w:szCs w:val="36"/>
          <w:lang w:val="en-US" w:eastAsia="zh-CN"/>
        </w:rPr>
        <w:t>被申请人在调查时对报警人未做笔录，决定书中并未提示L1骨折事实，只提到头部受伤，在洛阳做的伤情鉴定结果并未收到。</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sz w:val="32"/>
          <w:szCs w:val="32"/>
          <w:lang w:val="en-US" w:eastAsia="zh-CN"/>
        </w:rPr>
      </w:pPr>
      <w:r>
        <w:rPr>
          <w:rFonts w:hint="eastAsia" w:ascii="仿宋" w:hAnsi="仿宋" w:eastAsia="仿宋" w:cs="仿宋"/>
          <w:b/>
          <w:bCs/>
          <w:sz w:val="32"/>
          <w:szCs w:val="36"/>
          <w:highlight w:val="none"/>
        </w:rPr>
        <w:t>被申请人辩称：</w:t>
      </w:r>
      <w:r>
        <w:rPr>
          <w:rFonts w:hint="eastAsia" w:ascii="华文仿宋" w:hAnsi="华文仿宋" w:eastAsia="华文仿宋" w:cs="华文仿宋"/>
          <w:sz w:val="32"/>
          <w:szCs w:val="32"/>
          <w:lang w:val="en-US" w:eastAsia="zh-CN"/>
        </w:rPr>
        <w:t>2023年6月12日，被申请人接警后到达申请人家中，发现申请人躺在地上，其称被邻居张某文、张某杰殴打。当事双方因宅基地问题发生多次纠纷，进行过多次民事诉讼，当天经村委人员到场进行调解。因双方矛盾较深，村委调解未果，2023年6月15日被申请人受理为行政案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事发现场只有申请人及张某文父子三人，无反映该事的监控、无其他证人在场。根据出警民警反馈、询问当事人等，现有证据不能证明张某文、张某杰殴打申请人。被申请人依据《中华人民共和国治安管理处罚法》第九十五条第二项规定，对张某文、张某杰不予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但现场申请人确实有伤，家属要求做伤情鉴定，在2023年6月20日委托洛阳市公安局物证鉴定所进行伤情鉴定。2023年7月10日，洛阳市公安局物证鉴定所给被申请人反馈情况说明中称此鉴定属疑难复杂鉴定，根据公安部《公安机关鉴定规则》及豫公通</w:t>
      </w:r>
      <w:r>
        <w:rPr>
          <w:rFonts w:hint="default" w:ascii="仿宋" w:hAnsi="仿宋" w:eastAsia="仿宋" w:cs="仿宋"/>
          <w:sz w:val="32"/>
          <w:szCs w:val="36"/>
          <w:highlight w:val="none"/>
          <w:lang w:val="en-US" w:eastAsia="zh-CN"/>
        </w:rPr>
        <w:t>〔20</w:t>
      </w:r>
      <w:r>
        <w:rPr>
          <w:rFonts w:hint="eastAsia" w:ascii="仿宋" w:hAnsi="仿宋" w:eastAsia="仿宋" w:cs="仿宋"/>
          <w:sz w:val="32"/>
          <w:szCs w:val="36"/>
          <w:highlight w:val="none"/>
          <w:lang w:val="en-US" w:eastAsia="zh-CN"/>
        </w:rPr>
        <w:t>19</w:t>
      </w:r>
      <w:r>
        <w:rPr>
          <w:rFonts w:hint="default" w:ascii="仿宋" w:hAnsi="仿宋" w:eastAsia="仿宋" w:cs="仿宋"/>
          <w:sz w:val="32"/>
          <w:szCs w:val="36"/>
          <w:highlight w:val="none"/>
          <w:lang w:val="en-US" w:eastAsia="zh-CN"/>
        </w:rPr>
        <w:t>〕</w:t>
      </w:r>
      <w:r>
        <w:rPr>
          <w:rFonts w:hint="eastAsia" w:ascii="华文仿宋" w:hAnsi="华文仿宋" w:eastAsia="华文仿宋" w:cs="华文仿宋"/>
          <w:sz w:val="32"/>
          <w:szCs w:val="32"/>
          <w:lang w:val="en-US" w:eastAsia="zh-CN"/>
        </w:rPr>
        <w:t>12号文件的相关条款之规定，建议被申请人将申请人的鉴定委托到其他的鉴定机构。2023年8月8日，被申请人委托至河南省法医学会司法鉴定中心进行致伤原因及伤情鉴定。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华文仿宋" w:hAnsi="华文仿宋" w:eastAsia="华文仿宋" w:cs="华文仿宋"/>
          <w:sz w:val="32"/>
          <w:szCs w:val="32"/>
          <w:lang w:val="en-US" w:eastAsia="zh-CN"/>
        </w:rPr>
        <w:t>被申请人对当事人做出的处理，事实清楚，程序合法，请求依法维持。</w:t>
      </w:r>
    </w:p>
    <w:p>
      <w:pPr>
        <w:keepNext w:val="0"/>
        <w:keepLines w:val="0"/>
        <w:pageBreakBefore w:val="0"/>
        <w:widowControl w:val="0"/>
        <w:kinsoku/>
        <w:wordWrap/>
        <w:overflowPunct/>
        <w:topLinePunct w:val="0"/>
        <w:autoSpaceDE/>
        <w:autoSpaceDN/>
        <w:bidi w:val="0"/>
        <w:adjustRightInd/>
        <w:snapToGrid/>
        <w:spacing w:line="600" w:lineRule="exact"/>
        <w:ind w:firstLine="964" w:firstLineChars="300"/>
        <w:jc w:val="left"/>
        <w:textAlignment w:val="auto"/>
        <w:rPr>
          <w:rFonts w:hint="default" w:ascii="仿宋" w:hAnsi="仿宋" w:eastAsia="仿宋" w:cs="仿宋"/>
          <w:kern w:val="2"/>
          <w:sz w:val="32"/>
          <w:szCs w:val="36"/>
          <w:lang w:val="en-US" w:eastAsia="zh-CN" w:bidi="ar-SA"/>
        </w:rPr>
      </w:pPr>
      <w:r>
        <w:rPr>
          <w:rFonts w:hint="eastAsia" w:ascii="仿宋" w:hAnsi="仿宋" w:eastAsia="仿宋" w:cs="仿宋"/>
          <w:b/>
          <w:bCs/>
          <w:sz w:val="32"/>
          <w:szCs w:val="36"/>
        </w:rPr>
        <w:t>经</w:t>
      </w:r>
      <w:r>
        <w:rPr>
          <w:rFonts w:hint="eastAsia" w:ascii="仿宋" w:hAnsi="仿宋" w:eastAsia="仿宋" w:cs="仿宋"/>
          <w:b/>
          <w:bCs/>
          <w:sz w:val="32"/>
          <w:szCs w:val="36"/>
          <w:lang w:val="en-US" w:eastAsia="zh-CN"/>
        </w:rPr>
        <w:t>审理查明：</w:t>
      </w:r>
      <w:r>
        <w:rPr>
          <w:rFonts w:hint="eastAsia" w:ascii="仿宋" w:hAnsi="仿宋" w:eastAsia="仿宋" w:cs="仿宋"/>
          <w:kern w:val="2"/>
          <w:sz w:val="32"/>
          <w:szCs w:val="36"/>
          <w:lang w:val="en-US" w:eastAsia="zh-CN" w:bidi="ar-SA"/>
        </w:rPr>
        <w:t>2023年6月12日16时许，申请人与邻居张某文、张某杰父子因宅基地问题发生争执，其间申请人右侧眉骨受伤，6月12日申请人被医院诊断为腰1椎体压缩型骨折。2023年6月15日被申请人受理该案为行政案件。2023年6月20日，被申请人委托洛阳市公安局物证鉴定所对申请人损伤程度进行鉴定，2023年7月3日，洛阳市公安局物证鉴定所以鉴定属疑难复杂鉴定，作出“建议将马某的鉴定委托到其他的鉴定机构”的情况说明。2023年7月14日，被申请人作出延长办案期限三十日的决定。2023年8月2日，被申请人委托河南省法医学会司法鉴定中心对申请人的损伤程度进行鉴定，2023年8月25日，河南省法医学会司法鉴定中心作出“马某头部软组织损伤，腰椎损伤均符合轻微伤”的鉴定意见，同时表明“马某腰1椎体压缩骨折损伤外力作用与其自身骨质疏松症原因力大小为同等作用”、“结合受伤现场情况，其头部软组织伤碰伤可以形成”、“2023年8月3日行MRI检查示L4椎体新鲜压缩骨折，与2023年6月12日与他人发生纠纷受伤没有因果关系”。2023年8月30日，被申请人将《河南省法医学会司法鉴定中心司法鉴定意见书》送达张某仙（申请人女儿）及张某文、张某杰，张某仙表明“对结果有异议，申请重新鉴定，因我母年大，不能到现场，由我代取鉴定结果”，张某文表明“申请，马某此前有腰伤，我有证明材料”，张某杰表明“不申请”。2023年9月18日，被申请人进行集体议案，议案结果为对张某文、张某杰作出不予处罚决定。当日，被申请人对张某文、张某杰以“现场无监控、无其他证人，并且双方各执一词，无法证实马某被殴打的情况”为由，作出不予行政处罚的决定。次日，送达张某文、张某栓（马某儿子）。另查明，申请人所称监控，经多方尝试均无法播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kern w:val="2"/>
          <w:sz w:val="32"/>
          <w:szCs w:val="36"/>
          <w:highlight w:val="none"/>
          <w:lang w:val="en-US" w:eastAsia="zh-CN" w:bidi="ar-SA"/>
        </w:rPr>
      </w:pPr>
      <w:r>
        <w:rPr>
          <w:rFonts w:hint="eastAsia" w:ascii="仿宋" w:hAnsi="仿宋" w:eastAsia="仿宋" w:cs="仿宋"/>
          <w:b/>
          <w:bCs/>
          <w:sz w:val="32"/>
          <w:szCs w:val="36"/>
        </w:rPr>
        <w:t>本机关</w:t>
      </w:r>
      <w:r>
        <w:rPr>
          <w:rFonts w:hint="eastAsia" w:ascii="仿宋" w:hAnsi="仿宋" w:eastAsia="仿宋" w:cs="仿宋"/>
          <w:b/>
          <w:bCs/>
          <w:sz w:val="32"/>
          <w:szCs w:val="36"/>
          <w:lang w:val="en-US" w:eastAsia="zh-CN"/>
        </w:rPr>
        <w:t>审理后</w:t>
      </w:r>
      <w:r>
        <w:rPr>
          <w:rFonts w:hint="eastAsia" w:ascii="仿宋" w:hAnsi="仿宋" w:eastAsia="仿宋" w:cs="仿宋"/>
          <w:b/>
          <w:bCs/>
          <w:sz w:val="32"/>
          <w:szCs w:val="36"/>
        </w:rPr>
        <w:t>认为</w:t>
      </w:r>
      <w:r>
        <w:rPr>
          <w:rFonts w:hint="eastAsia" w:ascii="仿宋" w:hAnsi="仿宋" w:eastAsia="仿宋" w:cs="仿宋"/>
          <w:b/>
          <w:bCs/>
          <w:sz w:val="32"/>
          <w:szCs w:val="36"/>
          <w:lang w:eastAsia="zh-CN"/>
        </w:rPr>
        <w:t>：</w:t>
      </w:r>
      <w:r>
        <w:rPr>
          <w:rFonts w:hint="eastAsia" w:ascii="仿宋" w:hAnsi="仿宋" w:eastAsia="仿宋" w:cs="仿宋"/>
          <w:kern w:val="2"/>
          <w:sz w:val="32"/>
          <w:szCs w:val="36"/>
          <w:highlight w:val="none"/>
          <w:lang w:val="en-US" w:eastAsia="zh-CN" w:bidi="ar-SA"/>
        </w:rPr>
        <w:t>根据《</w:t>
      </w:r>
      <w:r>
        <w:rPr>
          <w:rFonts w:hint="eastAsia" w:ascii="仿宋" w:hAnsi="仿宋" w:eastAsia="仿宋" w:cs="仿宋"/>
          <w:sz w:val="32"/>
          <w:szCs w:val="36"/>
          <w:highlight w:val="none"/>
        </w:rPr>
        <w:t>中华人民共和国治安管理处罚法</w:t>
      </w:r>
      <w:r>
        <w:rPr>
          <w:rFonts w:hint="eastAsia" w:ascii="仿宋" w:hAnsi="仿宋" w:eastAsia="仿宋" w:cs="仿宋"/>
          <w:kern w:val="2"/>
          <w:sz w:val="32"/>
          <w:szCs w:val="36"/>
          <w:highlight w:val="none"/>
          <w:lang w:val="en-US" w:eastAsia="zh-CN" w:bidi="ar-SA"/>
        </w:rPr>
        <w:t>》第七条第一款之规定，被申请人具有负责辖区内治安管理工作的法定职责。根据相关证据，无法证实张某文存在殴打申请人的行为。根据《</w:t>
      </w:r>
      <w:r>
        <w:rPr>
          <w:rFonts w:hint="eastAsia" w:ascii="仿宋" w:hAnsi="仿宋" w:eastAsia="仿宋" w:cs="仿宋"/>
          <w:sz w:val="32"/>
          <w:szCs w:val="36"/>
          <w:highlight w:val="none"/>
        </w:rPr>
        <w:t>中华人民共和国治安管理处罚法</w:t>
      </w:r>
      <w:r>
        <w:rPr>
          <w:rFonts w:hint="eastAsia" w:ascii="仿宋" w:hAnsi="仿宋" w:eastAsia="仿宋" w:cs="仿宋"/>
          <w:kern w:val="2"/>
          <w:sz w:val="32"/>
          <w:szCs w:val="36"/>
          <w:highlight w:val="none"/>
          <w:lang w:val="en-US" w:eastAsia="zh-CN" w:bidi="ar-SA"/>
        </w:rPr>
        <w:t>》第九十五条及《公安机关办理行政案件程序规定》第一百六十五条、第一百七十二条等规定，被申请人作出的处罚决定事实认定清楚，适用法律正确。根据《公安机关办理行政案件程序规定》第九十七条、第九十八条之规定，违法嫌疑人或者被侵害人对鉴定意见有异议的，经县级以上公安机关负责人批准，作出不准予重新鉴定的决定，并在作出决定之日起的三日以内书面通知申请人。本案中，被申请人未作出不准予重新鉴定的决定并送达；被申请人送达的《鉴定意见告知笔录》，由申请人女儿签收，缺乏申请人对其女儿的授权委托，属于程序违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highlight w:val="none"/>
        </w:rPr>
      </w:pPr>
      <w:r>
        <w:rPr>
          <w:rFonts w:hint="eastAsia" w:ascii="仿宋" w:hAnsi="仿宋" w:eastAsia="仿宋" w:cs="仿宋"/>
          <w:kern w:val="2"/>
          <w:sz w:val="32"/>
          <w:szCs w:val="36"/>
          <w:highlight w:val="none"/>
          <w:lang w:val="en-US" w:eastAsia="zh-CN" w:bidi="ar-SA"/>
        </w:rPr>
        <w:t>综上，</w:t>
      </w:r>
      <w:r>
        <w:rPr>
          <w:rFonts w:hint="eastAsia" w:ascii="仿宋" w:hAnsi="仿宋" w:eastAsia="仿宋" w:cs="仿宋"/>
          <w:sz w:val="32"/>
          <w:szCs w:val="36"/>
          <w:highlight w:val="none"/>
        </w:rPr>
        <w:t>根据《中华人民共和国行政复议法》第二十八条第一款第</w:t>
      </w:r>
      <w:r>
        <w:rPr>
          <w:rFonts w:hint="eastAsia" w:ascii="仿宋" w:hAnsi="仿宋" w:eastAsia="仿宋" w:cs="仿宋"/>
          <w:sz w:val="32"/>
          <w:szCs w:val="36"/>
          <w:highlight w:val="none"/>
          <w:lang w:eastAsia="zh-CN"/>
        </w:rPr>
        <w:t>（</w:t>
      </w:r>
      <w:r>
        <w:rPr>
          <w:rFonts w:hint="eastAsia" w:ascii="仿宋" w:hAnsi="仿宋" w:eastAsia="仿宋" w:cs="仿宋"/>
          <w:sz w:val="32"/>
          <w:szCs w:val="36"/>
          <w:highlight w:val="none"/>
          <w:lang w:val="en-US" w:eastAsia="zh-CN"/>
        </w:rPr>
        <w:t>三）</w:t>
      </w:r>
      <w:r>
        <w:rPr>
          <w:rFonts w:hint="eastAsia" w:ascii="仿宋" w:hAnsi="仿宋" w:eastAsia="仿宋" w:cs="仿宋"/>
          <w:sz w:val="32"/>
          <w:szCs w:val="36"/>
          <w:highlight w:val="none"/>
        </w:rPr>
        <w:t>项之规定，本机关决定如下：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sz w:val="32"/>
          <w:szCs w:val="36"/>
          <w:highlight w:val="none"/>
          <w:lang w:val="en-US" w:eastAsia="zh-CN"/>
        </w:rPr>
      </w:pPr>
      <w:r>
        <w:rPr>
          <w:rFonts w:hint="eastAsia" w:ascii="仿宋" w:hAnsi="仿宋" w:eastAsia="仿宋" w:cs="仿宋"/>
          <w:sz w:val="32"/>
          <w:szCs w:val="36"/>
          <w:highlight w:val="none"/>
          <w:lang w:val="en-US" w:eastAsia="zh-CN"/>
        </w:rPr>
        <w:t>确认</w:t>
      </w:r>
      <w:r>
        <w:rPr>
          <w:rFonts w:hint="eastAsia" w:ascii="仿宋" w:hAnsi="仿宋" w:eastAsia="仿宋" w:cs="仿宋"/>
          <w:sz w:val="32"/>
          <w:szCs w:val="36"/>
          <w:highlight w:val="none"/>
        </w:rPr>
        <w:t>被申请人202</w:t>
      </w:r>
      <w:r>
        <w:rPr>
          <w:rFonts w:hint="eastAsia" w:ascii="仿宋" w:hAnsi="仿宋" w:eastAsia="仿宋" w:cs="仿宋"/>
          <w:sz w:val="32"/>
          <w:szCs w:val="36"/>
          <w:highlight w:val="none"/>
          <w:lang w:val="en-US" w:eastAsia="zh-CN"/>
        </w:rPr>
        <w:t>3年9</w:t>
      </w:r>
      <w:r>
        <w:rPr>
          <w:rFonts w:hint="eastAsia" w:ascii="仿宋" w:hAnsi="仿宋" w:eastAsia="仿宋" w:cs="仿宋"/>
          <w:sz w:val="32"/>
          <w:szCs w:val="36"/>
          <w:highlight w:val="none"/>
        </w:rPr>
        <w:t>月</w:t>
      </w:r>
      <w:r>
        <w:rPr>
          <w:rFonts w:hint="eastAsia" w:ascii="仿宋" w:hAnsi="仿宋" w:eastAsia="仿宋" w:cs="仿宋"/>
          <w:sz w:val="32"/>
          <w:szCs w:val="36"/>
          <w:highlight w:val="none"/>
          <w:lang w:val="en-US" w:eastAsia="zh-CN"/>
        </w:rPr>
        <w:t>18日</w:t>
      </w:r>
      <w:r>
        <w:rPr>
          <w:rFonts w:hint="eastAsia" w:ascii="仿宋" w:hAnsi="仿宋" w:eastAsia="仿宋" w:cs="仿宋"/>
          <w:sz w:val="32"/>
          <w:szCs w:val="36"/>
          <w:highlight w:val="none"/>
        </w:rPr>
        <w:t>作出的《</w:t>
      </w:r>
      <w:r>
        <w:rPr>
          <w:rFonts w:hint="eastAsia" w:ascii="仿宋" w:hAnsi="仿宋" w:eastAsia="仿宋" w:cs="仿宋"/>
          <w:sz w:val="32"/>
          <w:szCs w:val="36"/>
          <w:highlight w:val="none"/>
          <w:lang w:val="en-US" w:eastAsia="zh-CN"/>
        </w:rPr>
        <w:t>不予行政处罚决定书</w:t>
      </w:r>
      <w:r>
        <w:rPr>
          <w:rFonts w:hint="eastAsia" w:ascii="仿宋" w:hAnsi="仿宋" w:eastAsia="仿宋" w:cs="仿宋"/>
          <w:sz w:val="32"/>
          <w:szCs w:val="36"/>
          <w:highlight w:val="none"/>
        </w:rPr>
        <w:t>》</w:t>
      </w:r>
      <w:r>
        <w:rPr>
          <w:rFonts w:hint="eastAsia" w:ascii="仿宋" w:hAnsi="仿宋" w:eastAsia="仿宋" w:cs="仿宋"/>
          <w:sz w:val="32"/>
          <w:szCs w:val="36"/>
          <w:highlight w:val="none"/>
          <w:lang w:eastAsia="zh-CN"/>
        </w:rPr>
        <w:t>（</w:t>
      </w:r>
      <w:r>
        <w:rPr>
          <w:rFonts w:hint="eastAsia" w:ascii="仿宋" w:hAnsi="仿宋" w:eastAsia="仿宋" w:cs="仿宋"/>
          <w:sz w:val="32"/>
          <w:szCs w:val="36"/>
          <w:highlight w:val="none"/>
          <w:lang w:val="en-US" w:eastAsia="zh-CN"/>
        </w:rPr>
        <w:t>洛公瀍河（瀍河）不罚决字</w:t>
      </w:r>
      <w:r>
        <w:rPr>
          <w:rFonts w:hint="eastAsia" w:ascii="仿宋" w:hAnsi="仿宋" w:eastAsia="仿宋" w:cs="仿宋"/>
          <w:sz w:val="32"/>
          <w:szCs w:val="28"/>
          <w:highlight w:val="none"/>
        </w:rPr>
        <w:t>〔202</w:t>
      </w:r>
      <w:r>
        <w:rPr>
          <w:rFonts w:hint="eastAsia" w:ascii="仿宋" w:hAnsi="仿宋" w:eastAsia="仿宋" w:cs="仿宋"/>
          <w:sz w:val="32"/>
          <w:szCs w:val="28"/>
          <w:highlight w:val="none"/>
          <w:lang w:val="en-US" w:eastAsia="zh-CN"/>
        </w:rPr>
        <w:t>3</w:t>
      </w:r>
      <w:r>
        <w:rPr>
          <w:rFonts w:hint="eastAsia" w:ascii="仿宋" w:hAnsi="仿宋" w:eastAsia="仿宋" w:cs="仿宋"/>
          <w:sz w:val="32"/>
          <w:szCs w:val="28"/>
          <w:highlight w:val="none"/>
        </w:rPr>
        <w:t>〕</w:t>
      </w:r>
      <w:r>
        <w:rPr>
          <w:rFonts w:hint="eastAsia" w:ascii="仿宋" w:hAnsi="仿宋" w:eastAsia="仿宋" w:cs="仿宋"/>
          <w:sz w:val="32"/>
          <w:szCs w:val="28"/>
          <w:highlight w:val="none"/>
          <w:lang w:val="en-US" w:eastAsia="zh-CN"/>
        </w:rPr>
        <w:t>27</w:t>
      </w:r>
      <w:r>
        <w:rPr>
          <w:rFonts w:hint="eastAsia" w:ascii="仿宋" w:hAnsi="仿宋" w:eastAsia="仿宋" w:cs="仿宋"/>
          <w:sz w:val="32"/>
          <w:szCs w:val="28"/>
          <w:highlight w:val="none"/>
        </w:rPr>
        <w:t>号</w:t>
      </w:r>
      <w:r>
        <w:rPr>
          <w:rFonts w:hint="eastAsia" w:ascii="仿宋" w:hAnsi="仿宋" w:eastAsia="仿宋" w:cs="仿宋"/>
          <w:sz w:val="32"/>
          <w:szCs w:val="36"/>
          <w:highlight w:val="none"/>
          <w:lang w:eastAsia="zh-CN"/>
        </w:rPr>
        <w:t>）</w:t>
      </w:r>
      <w:r>
        <w:rPr>
          <w:rFonts w:hint="eastAsia" w:ascii="仿宋" w:hAnsi="仿宋" w:eastAsia="仿宋" w:cs="仿宋"/>
          <w:sz w:val="32"/>
          <w:szCs w:val="36"/>
          <w:highlight w:val="none"/>
          <w:lang w:val="en-US" w:eastAsia="zh-CN"/>
        </w:rPr>
        <w:t>违法</w:t>
      </w:r>
      <w:r>
        <w:rPr>
          <w:rFonts w:hint="default" w:ascii="仿宋" w:hAnsi="仿宋" w:eastAsia="仿宋" w:cs="仿宋"/>
          <w:sz w:val="32"/>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highlight w:val="none"/>
        </w:rPr>
      </w:pPr>
      <w:r>
        <w:rPr>
          <w:rFonts w:hint="eastAsia" w:ascii="仿宋" w:hAnsi="仿宋" w:eastAsia="仿宋" w:cs="仿宋"/>
          <w:sz w:val="32"/>
          <w:szCs w:val="36"/>
          <w:highlight w:val="none"/>
        </w:rPr>
        <w:t>申请人如不服本决定，可以自接到本决定书之日起15日内向人民法院提起行政诉讼。</w:t>
      </w:r>
    </w:p>
    <w:p>
      <w:pPr>
        <w:pStyle w:val="2"/>
        <w:ind w:left="0" w:leftChars="0" w:firstLine="0" w:firstLineChars="0"/>
        <w:rPr>
          <w:rFonts w:hint="eastAsia"/>
          <w:lang w:val="en-US" w:eastAsia="zh-CN"/>
        </w:rPr>
      </w:pPr>
      <w:r>
        <w:rPr>
          <w:rFonts w:hint="eastAsia"/>
          <w:lang w:val="en-US" w:eastAsia="zh-CN"/>
        </w:rPr>
        <w:t xml:space="preserve"> </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rPr>
      </w:pPr>
    </w:p>
    <w:p>
      <w:pPr>
        <w:spacing w:line="600" w:lineRule="exact"/>
        <w:ind w:right="1280" w:firstLine="1280" w:firstLineChars="400"/>
        <w:jc w:val="center"/>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 xml:space="preserve">                      </w:t>
      </w:r>
      <w:r>
        <w:rPr>
          <w:rFonts w:hint="eastAsia" w:ascii="仿宋" w:hAnsi="仿宋" w:eastAsia="仿宋" w:cs="仿宋"/>
          <w:sz w:val="32"/>
          <w:szCs w:val="36"/>
        </w:rPr>
        <w:t>202</w:t>
      </w:r>
      <w:r>
        <w:rPr>
          <w:rFonts w:hint="eastAsia" w:ascii="仿宋" w:hAnsi="仿宋" w:eastAsia="仿宋" w:cs="仿宋"/>
          <w:sz w:val="32"/>
          <w:szCs w:val="36"/>
          <w:lang w:val="en-US" w:eastAsia="zh-CN"/>
        </w:rPr>
        <w:t>3年11</w:t>
      </w:r>
      <w:r>
        <w:rPr>
          <w:rFonts w:hint="eastAsia" w:ascii="仿宋" w:hAnsi="仿宋" w:eastAsia="仿宋" w:cs="仿宋"/>
          <w:sz w:val="32"/>
          <w:szCs w:val="36"/>
        </w:rPr>
        <w:t>月</w:t>
      </w:r>
      <w:r>
        <w:rPr>
          <w:rFonts w:hint="eastAsia" w:ascii="仿宋" w:hAnsi="仿宋" w:eastAsia="仿宋" w:cs="仿宋"/>
          <w:sz w:val="32"/>
          <w:szCs w:val="36"/>
          <w:lang w:val="en-US" w:eastAsia="zh-CN"/>
        </w:rPr>
        <w:t>7日</w:t>
      </w:r>
      <w:bookmarkStart w:id="0" w:name="_GoBack"/>
      <w:bookmarkEnd w:id="0"/>
    </w:p>
    <w:sectPr>
      <w:footerReference r:id="rId3" w:type="default"/>
      <w:pgSz w:w="11906" w:h="16838"/>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265CB"/>
    <w:rsid w:val="0009573E"/>
    <w:rsid w:val="000A5F57"/>
    <w:rsid w:val="000B0DF6"/>
    <w:rsid w:val="000F47A3"/>
    <w:rsid w:val="00104994"/>
    <w:rsid w:val="001721EB"/>
    <w:rsid w:val="00175655"/>
    <w:rsid w:val="00186F41"/>
    <w:rsid w:val="001B75C9"/>
    <w:rsid w:val="001D0468"/>
    <w:rsid w:val="001E312A"/>
    <w:rsid w:val="001F701D"/>
    <w:rsid w:val="00206C87"/>
    <w:rsid w:val="00237B93"/>
    <w:rsid w:val="00245087"/>
    <w:rsid w:val="00280356"/>
    <w:rsid w:val="002960AC"/>
    <w:rsid w:val="002B315A"/>
    <w:rsid w:val="002D2C64"/>
    <w:rsid w:val="003100CB"/>
    <w:rsid w:val="0031085F"/>
    <w:rsid w:val="003316DD"/>
    <w:rsid w:val="00352BC7"/>
    <w:rsid w:val="0036454C"/>
    <w:rsid w:val="00372D11"/>
    <w:rsid w:val="003B5822"/>
    <w:rsid w:val="003C7FC0"/>
    <w:rsid w:val="003E0FFA"/>
    <w:rsid w:val="00414274"/>
    <w:rsid w:val="004350EC"/>
    <w:rsid w:val="00443590"/>
    <w:rsid w:val="00446A9E"/>
    <w:rsid w:val="00446CB5"/>
    <w:rsid w:val="00464B23"/>
    <w:rsid w:val="00465B07"/>
    <w:rsid w:val="00466E9A"/>
    <w:rsid w:val="00471938"/>
    <w:rsid w:val="00492D97"/>
    <w:rsid w:val="004A3207"/>
    <w:rsid w:val="004B6CAC"/>
    <w:rsid w:val="00501FC1"/>
    <w:rsid w:val="00523494"/>
    <w:rsid w:val="0054679C"/>
    <w:rsid w:val="005833D0"/>
    <w:rsid w:val="005A3FBF"/>
    <w:rsid w:val="005C2136"/>
    <w:rsid w:val="005D465B"/>
    <w:rsid w:val="005D606D"/>
    <w:rsid w:val="005F1216"/>
    <w:rsid w:val="00622407"/>
    <w:rsid w:val="0065532A"/>
    <w:rsid w:val="00666DE1"/>
    <w:rsid w:val="006A0F4E"/>
    <w:rsid w:val="006F0378"/>
    <w:rsid w:val="007068DC"/>
    <w:rsid w:val="00730D61"/>
    <w:rsid w:val="00741081"/>
    <w:rsid w:val="00783227"/>
    <w:rsid w:val="00826965"/>
    <w:rsid w:val="00846E9D"/>
    <w:rsid w:val="00850765"/>
    <w:rsid w:val="00862958"/>
    <w:rsid w:val="008752D7"/>
    <w:rsid w:val="00877AD4"/>
    <w:rsid w:val="008838CB"/>
    <w:rsid w:val="00890BC1"/>
    <w:rsid w:val="008A3484"/>
    <w:rsid w:val="008D0220"/>
    <w:rsid w:val="008D1BC0"/>
    <w:rsid w:val="00907381"/>
    <w:rsid w:val="0093692A"/>
    <w:rsid w:val="00946FA5"/>
    <w:rsid w:val="00974772"/>
    <w:rsid w:val="0098785F"/>
    <w:rsid w:val="00987C1E"/>
    <w:rsid w:val="00990534"/>
    <w:rsid w:val="009D3193"/>
    <w:rsid w:val="00A12FC7"/>
    <w:rsid w:val="00A40429"/>
    <w:rsid w:val="00A8288C"/>
    <w:rsid w:val="00A84CB5"/>
    <w:rsid w:val="00A90513"/>
    <w:rsid w:val="00A93471"/>
    <w:rsid w:val="00A96646"/>
    <w:rsid w:val="00AA7615"/>
    <w:rsid w:val="00AB714C"/>
    <w:rsid w:val="00B57C9D"/>
    <w:rsid w:val="00B74149"/>
    <w:rsid w:val="00BC0FE7"/>
    <w:rsid w:val="00BF7285"/>
    <w:rsid w:val="00C04AA2"/>
    <w:rsid w:val="00C050F0"/>
    <w:rsid w:val="00C104DD"/>
    <w:rsid w:val="00C37719"/>
    <w:rsid w:val="00C524F6"/>
    <w:rsid w:val="00C53EE4"/>
    <w:rsid w:val="00C61BA5"/>
    <w:rsid w:val="00C71B30"/>
    <w:rsid w:val="00CB7E32"/>
    <w:rsid w:val="00CD6530"/>
    <w:rsid w:val="00D03381"/>
    <w:rsid w:val="00D214E6"/>
    <w:rsid w:val="00D34B4D"/>
    <w:rsid w:val="00D63240"/>
    <w:rsid w:val="00D77FD9"/>
    <w:rsid w:val="00DE6B07"/>
    <w:rsid w:val="00E07ED9"/>
    <w:rsid w:val="00E156F0"/>
    <w:rsid w:val="00E52965"/>
    <w:rsid w:val="00E7160D"/>
    <w:rsid w:val="00E906DA"/>
    <w:rsid w:val="00EA35F2"/>
    <w:rsid w:val="00EB0343"/>
    <w:rsid w:val="00F80848"/>
    <w:rsid w:val="00FC47F1"/>
    <w:rsid w:val="00FD7CC3"/>
    <w:rsid w:val="014D7BF5"/>
    <w:rsid w:val="014E6A7B"/>
    <w:rsid w:val="0163365B"/>
    <w:rsid w:val="01772D37"/>
    <w:rsid w:val="01B27836"/>
    <w:rsid w:val="01D92889"/>
    <w:rsid w:val="02DE4B9A"/>
    <w:rsid w:val="03570913"/>
    <w:rsid w:val="03C75EED"/>
    <w:rsid w:val="03EC6418"/>
    <w:rsid w:val="04217E64"/>
    <w:rsid w:val="0530338A"/>
    <w:rsid w:val="06187E59"/>
    <w:rsid w:val="06FD0DFE"/>
    <w:rsid w:val="08464719"/>
    <w:rsid w:val="088A7403"/>
    <w:rsid w:val="092A667A"/>
    <w:rsid w:val="098A1A45"/>
    <w:rsid w:val="0ABB4A2C"/>
    <w:rsid w:val="0ADE07E5"/>
    <w:rsid w:val="0DB45673"/>
    <w:rsid w:val="0DB76C9C"/>
    <w:rsid w:val="0DC005F8"/>
    <w:rsid w:val="0DE277B4"/>
    <w:rsid w:val="10930019"/>
    <w:rsid w:val="113743A6"/>
    <w:rsid w:val="119E3507"/>
    <w:rsid w:val="128B14A3"/>
    <w:rsid w:val="13530D33"/>
    <w:rsid w:val="15255EA1"/>
    <w:rsid w:val="15BC2383"/>
    <w:rsid w:val="163B6D13"/>
    <w:rsid w:val="16FF4991"/>
    <w:rsid w:val="17C36FE9"/>
    <w:rsid w:val="1A205B94"/>
    <w:rsid w:val="1A54747D"/>
    <w:rsid w:val="1ACE25AE"/>
    <w:rsid w:val="1AED4AA9"/>
    <w:rsid w:val="1B5C7795"/>
    <w:rsid w:val="1BA819E1"/>
    <w:rsid w:val="1CD71B6E"/>
    <w:rsid w:val="1CDD66A6"/>
    <w:rsid w:val="1D240058"/>
    <w:rsid w:val="1EF36C51"/>
    <w:rsid w:val="1FD12FE5"/>
    <w:rsid w:val="1FED5A85"/>
    <w:rsid w:val="203171E6"/>
    <w:rsid w:val="20494804"/>
    <w:rsid w:val="208C13C6"/>
    <w:rsid w:val="216E0613"/>
    <w:rsid w:val="21A60F63"/>
    <w:rsid w:val="221E1CE0"/>
    <w:rsid w:val="23753390"/>
    <w:rsid w:val="24A70A4E"/>
    <w:rsid w:val="24DC40D7"/>
    <w:rsid w:val="25443B95"/>
    <w:rsid w:val="262E1D34"/>
    <w:rsid w:val="27B949A9"/>
    <w:rsid w:val="280758F1"/>
    <w:rsid w:val="290A5904"/>
    <w:rsid w:val="290C7CD7"/>
    <w:rsid w:val="29831730"/>
    <w:rsid w:val="29B20B0E"/>
    <w:rsid w:val="2B3C2EE3"/>
    <w:rsid w:val="2B6D3FF4"/>
    <w:rsid w:val="2D3415BE"/>
    <w:rsid w:val="2DF908F0"/>
    <w:rsid w:val="2E1F6A3B"/>
    <w:rsid w:val="2E4D7395"/>
    <w:rsid w:val="2EB73F33"/>
    <w:rsid w:val="2F4847B2"/>
    <w:rsid w:val="2F817280"/>
    <w:rsid w:val="2FF71A92"/>
    <w:rsid w:val="3008027B"/>
    <w:rsid w:val="300C57D0"/>
    <w:rsid w:val="30536487"/>
    <w:rsid w:val="32634DFD"/>
    <w:rsid w:val="33EC76A0"/>
    <w:rsid w:val="348C0085"/>
    <w:rsid w:val="34CD6999"/>
    <w:rsid w:val="34E84A10"/>
    <w:rsid w:val="369D23B3"/>
    <w:rsid w:val="36C75866"/>
    <w:rsid w:val="37D2470E"/>
    <w:rsid w:val="3ABF4DC8"/>
    <w:rsid w:val="3BE80D72"/>
    <w:rsid w:val="3C8D46A7"/>
    <w:rsid w:val="3E07538F"/>
    <w:rsid w:val="3EF80EB4"/>
    <w:rsid w:val="404761A1"/>
    <w:rsid w:val="40912771"/>
    <w:rsid w:val="41B657FE"/>
    <w:rsid w:val="42A9693D"/>
    <w:rsid w:val="435A332E"/>
    <w:rsid w:val="436D7417"/>
    <w:rsid w:val="448177EC"/>
    <w:rsid w:val="48FC455A"/>
    <w:rsid w:val="49C906DD"/>
    <w:rsid w:val="4A3563A4"/>
    <w:rsid w:val="4A9241E5"/>
    <w:rsid w:val="4ADE0AA9"/>
    <w:rsid w:val="4AF14D71"/>
    <w:rsid w:val="4B110796"/>
    <w:rsid w:val="4B17381D"/>
    <w:rsid w:val="4D074848"/>
    <w:rsid w:val="4EBE121B"/>
    <w:rsid w:val="4EE73D7B"/>
    <w:rsid w:val="50EF2622"/>
    <w:rsid w:val="5195156F"/>
    <w:rsid w:val="527978FA"/>
    <w:rsid w:val="559A7ED4"/>
    <w:rsid w:val="559E4AB5"/>
    <w:rsid w:val="56777D8C"/>
    <w:rsid w:val="568375FA"/>
    <w:rsid w:val="576E4D91"/>
    <w:rsid w:val="5BD9456F"/>
    <w:rsid w:val="5C1A2BD6"/>
    <w:rsid w:val="5C560102"/>
    <w:rsid w:val="5D172B1C"/>
    <w:rsid w:val="5D482985"/>
    <w:rsid w:val="5D962247"/>
    <w:rsid w:val="5E2A7515"/>
    <w:rsid w:val="5EB92BF0"/>
    <w:rsid w:val="5F113403"/>
    <w:rsid w:val="5FD670DF"/>
    <w:rsid w:val="5FD8506F"/>
    <w:rsid w:val="60545537"/>
    <w:rsid w:val="610020B4"/>
    <w:rsid w:val="618D519E"/>
    <w:rsid w:val="61C85437"/>
    <w:rsid w:val="62116290"/>
    <w:rsid w:val="633111F1"/>
    <w:rsid w:val="6465417C"/>
    <w:rsid w:val="648F4618"/>
    <w:rsid w:val="64B174D2"/>
    <w:rsid w:val="65FB335C"/>
    <w:rsid w:val="65FF283D"/>
    <w:rsid w:val="66D41FB8"/>
    <w:rsid w:val="67720B1D"/>
    <w:rsid w:val="68751ABF"/>
    <w:rsid w:val="68DF6B61"/>
    <w:rsid w:val="693A3658"/>
    <w:rsid w:val="69572A79"/>
    <w:rsid w:val="6A9D61FF"/>
    <w:rsid w:val="6B5F5EE0"/>
    <w:rsid w:val="6D805164"/>
    <w:rsid w:val="6E221251"/>
    <w:rsid w:val="6FB73257"/>
    <w:rsid w:val="6FD53A7C"/>
    <w:rsid w:val="6FDA3BC5"/>
    <w:rsid w:val="70012708"/>
    <w:rsid w:val="706436E2"/>
    <w:rsid w:val="70B3484B"/>
    <w:rsid w:val="70F94764"/>
    <w:rsid w:val="710343E6"/>
    <w:rsid w:val="740D420C"/>
    <w:rsid w:val="74A34027"/>
    <w:rsid w:val="761503F8"/>
    <w:rsid w:val="763052FA"/>
    <w:rsid w:val="76E351D9"/>
    <w:rsid w:val="77E61994"/>
    <w:rsid w:val="786B613C"/>
    <w:rsid w:val="78871D3C"/>
    <w:rsid w:val="788E2B7B"/>
    <w:rsid w:val="7956734C"/>
    <w:rsid w:val="79836C04"/>
    <w:rsid w:val="7A907FBD"/>
    <w:rsid w:val="7B3B31A7"/>
    <w:rsid w:val="7C1012DF"/>
    <w:rsid w:val="7C43454C"/>
    <w:rsid w:val="7C630623"/>
    <w:rsid w:val="7CD852AE"/>
    <w:rsid w:val="7CE36E3F"/>
    <w:rsid w:val="7D1939D9"/>
    <w:rsid w:val="7D4B01D0"/>
    <w:rsid w:val="7D725B67"/>
    <w:rsid w:val="7D94676B"/>
    <w:rsid w:val="7EB870AF"/>
    <w:rsid w:val="7EFD5EDD"/>
    <w:rsid w:val="7F062E2D"/>
    <w:rsid w:val="7FDC1384"/>
    <w:rsid w:val="7FEF2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rPr>
      <w:rFonts w:eastAsia="华文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styleId="11">
    <w:name w:val="HTML Code"/>
    <w:basedOn w:val="8"/>
    <w:qFormat/>
    <w:uiPriority w:val="0"/>
    <w:rPr>
      <w:rFonts w:ascii="Courier New" w:hAnsi="Courier New"/>
      <w:sz w:val="20"/>
    </w:rPr>
  </w:style>
  <w:style w:type="character" w:customStyle="1" w:styleId="12">
    <w:name w:val="calendar-head__text-display"/>
    <w:basedOn w:val="8"/>
    <w:qFormat/>
    <w:uiPriority w:val="0"/>
    <w:rPr>
      <w:vanish/>
    </w:rPr>
  </w:style>
  <w:style w:type="character" w:customStyle="1" w:styleId="13">
    <w:name w:val="calendar-head__next-range-btn"/>
    <w:basedOn w:val="8"/>
    <w:qFormat/>
    <w:uiPriority w:val="0"/>
    <w:rPr>
      <w:vanish/>
    </w:rPr>
  </w:style>
  <w:style w:type="character" w:customStyle="1" w:styleId="14">
    <w:name w:val="active"/>
    <w:basedOn w:val="8"/>
    <w:qFormat/>
    <w:uiPriority w:val="0"/>
    <w:rPr>
      <w:color w:val="333333"/>
    </w:rPr>
  </w:style>
  <w:style w:type="character" w:customStyle="1" w:styleId="15">
    <w:name w:val="calendar-head__next-month-btn"/>
    <w:basedOn w:val="8"/>
    <w:qFormat/>
    <w:uiPriority w:val="0"/>
  </w:style>
  <w:style w:type="character" w:customStyle="1" w:styleId="16">
    <w:name w:val="hover"/>
    <w:basedOn w:val="8"/>
    <w:qFormat/>
    <w:uiPriority w:val="0"/>
    <w:rPr>
      <w:color w:val="2F6EA2"/>
    </w:rPr>
  </w:style>
  <w:style w:type="character" w:customStyle="1" w:styleId="17">
    <w:name w:val="calendar-head__year-range"/>
    <w:basedOn w:val="8"/>
    <w:qFormat/>
    <w:uiPriority w:val="0"/>
    <w:rPr>
      <w:vanish/>
    </w:rPr>
  </w:style>
  <w:style w:type="character" w:customStyle="1" w:styleId="18">
    <w:name w:val="calendar-head__prev-range-btn"/>
    <w:basedOn w:val="8"/>
    <w:qFormat/>
    <w:uiPriority w:val="0"/>
    <w:rPr>
      <w:vanish/>
    </w:rPr>
  </w:style>
  <w:style w:type="character" w:customStyle="1" w:styleId="19">
    <w:name w:val="calendar-head__next-year-btn"/>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2346</Words>
  <Characters>2455</Characters>
  <Lines>24</Lines>
  <Paragraphs>6</Paragraphs>
  <TotalTime>37</TotalTime>
  <ScaleCrop>false</ScaleCrop>
  <LinksUpToDate>false</LinksUpToDate>
  <CharactersWithSpaces>2478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2021-03-17T06:40:00Z</dcterms:created>
  <dc:creator>Administrator</dc:creator>
  <cp:lastModifiedBy>Administrator</cp:lastModifiedBy>
  <cp:lastPrinted>2023-11-06T08:15:00Z</cp:lastPrinted>
  <dcterms:modified xsi:type="dcterms:W3CDTF">2024-11-06T08:47:35Z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6F825FF1604A431E9A6B26976918792E_13</vt:lpwstr>
  </property>
</Properties>
</file>