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/>
          <w:b/>
          <w:bCs/>
          <w:sz w:val="56"/>
          <w:szCs w:val="52"/>
        </w:rPr>
      </w:pPr>
      <w:r>
        <w:rPr>
          <w:rFonts w:hint="eastAsia"/>
          <w:b/>
          <w:bCs/>
          <w:sz w:val="56"/>
          <w:szCs w:val="52"/>
        </w:rPr>
        <w:t>洛阳市瀍河回族区人民政府</w:t>
      </w:r>
    </w:p>
    <w:p>
      <w:pPr>
        <w:spacing w:line="540" w:lineRule="exact"/>
        <w:ind w:firstLine="2610" w:firstLineChars="500"/>
        <w:jc w:val="center"/>
        <w:rPr>
          <w:rFonts w:hint="eastAsia"/>
          <w:b/>
          <w:bCs/>
          <w:sz w:val="52"/>
          <w:szCs w:val="56"/>
        </w:rPr>
      </w:pPr>
    </w:p>
    <w:p>
      <w:pPr>
        <w:spacing w:line="540" w:lineRule="exact"/>
        <w:jc w:val="center"/>
        <w:rPr>
          <w:rFonts w:hint="eastAsia"/>
          <w:b/>
          <w:bCs/>
          <w:sz w:val="52"/>
          <w:szCs w:val="56"/>
        </w:rPr>
      </w:pPr>
      <w:r>
        <w:rPr>
          <w:rFonts w:hint="eastAsia"/>
          <w:b/>
          <w:bCs/>
          <w:sz w:val="52"/>
          <w:szCs w:val="56"/>
        </w:rPr>
        <w:t>行政复议决定书</w:t>
      </w:r>
    </w:p>
    <w:p>
      <w:pPr>
        <w:spacing w:line="540" w:lineRule="exact"/>
        <w:ind w:firstLine="2409" w:firstLineChars="500"/>
        <w:rPr>
          <w:rFonts w:hint="eastAsia"/>
          <w:b/>
          <w:bCs/>
          <w:sz w:val="48"/>
          <w:szCs w:val="56"/>
        </w:rPr>
      </w:pPr>
    </w:p>
    <w:p>
      <w:pPr>
        <w:spacing w:line="600" w:lineRule="exact"/>
        <w:ind w:firstLine="560" w:firstLineChars="200"/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28"/>
        </w:rPr>
        <w:t>瀍政复决字〔202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28"/>
        </w:rPr>
        <w:t>〕第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高某某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被申请人</w:t>
      </w:r>
      <w:r>
        <w:rPr>
          <w:rFonts w:hint="eastAsia" w:ascii="仿宋" w:hAnsi="仿宋" w:eastAsia="仿宋" w:cs="仿宋"/>
          <w:sz w:val="32"/>
          <w:szCs w:val="36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6"/>
        </w:rPr>
        <w:t>洛阳市公安局瀍河分局</w:t>
      </w:r>
      <w:r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  <w:t>东关派出所</w:t>
      </w:r>
      <w:r>
        <w:rPr>
          <w:rFonts w:hint="eastAsia" w:ascii="仿宋" w:hAnsi="仿宋" w:eastAsia="仿宋" w:cs="仿宋"/>
          <w:sz w:val="32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申请人对被申请人2024年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19</w:t>
      </w:r>
      <w:r>
        <w:rPr>
          <w:rFonts w:hint="eastAsia" w:ascii="华文仿宋" w:hAnsi="华文仿宋" w:eastAsia="华文仿宋" w:cs="华文仿宋"/>
          <w:sz w:val="32"/>
          <w:szCs w:val="32"/>
        </w:rPr>
        <w:t>日作出的《不予行政处罚决定书》（洛公瀍河（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东</w:t>
      </w:r>
      <w:r>
        <w:rPr>
          <w:rFonts w:hint="eastAsia" w:ascii="华文仿宋" w:hAnsi="华文仿宋" w:eastAsia="华文仿宋" w:cs="华文仿宋"/>
          <w:sz w:val="32"/>
          <w:szCs w:val="32"/>
        </w:rPr>
        <w:t>）不罚决字</w:t>
      </w:r>
      <w:r>
        <w:rPr>
          <w:rFonts w:hint="eastAsia" w:ascii="仿宋" w:hAnsi="仿宋" w:eastAsia="仿宋" w:cs="仿宋"/>
          <w:sz w:val="32"/>
          <w:szCs w:val="28"/>
        </w:rPr>
        <w:t>〔202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28"/>
        </w:rPr>
        <w:t>〕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44</w:t>
      </w:r>
      <w:r>
        <w:rPr>
          <w:rFonts w:hint="eastAsia" w:ascii="华文仿宋" w:hAnsi="华文仿宋" w:eastAsia="华文仿宋" w:cs="华文仿宋"/>
          <w:sz w:val="32"/>
          <w:szCs w:val="32"/>
        </w:rPr>
        <w:t>号）不服，向本机关提出行政复议申请。本机关收到申请后，依法予以受理，现已审理终结。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华文仿宋" w:hAnsi="华文仿宋" w:eastAsia="华文仿宋" w:cs="华文仿宋"/>
          <w:sz w:val="32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申请人请求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  <w:t>撤销</w:t>
      </w:r>
      <w:r>
        <w:rPr>
          <w:rFonts w:hint="eastAsia" w:ascii="华文仿宋" w:hAnsi="华文仿宋" w:eastAsia="华文仿宋" w:cs="华文仿宋"/>
          <w:sz w:val="32"/>
          <w:szCs w:val="36"/>
        </w:rPr>
        <w:t>被申请人于</w:t>
      </w:r>
      <w:r>
        <w:rPr>
          <w:rFonts w:hint="eastAsia" w:ascii="华文仿宋" w:hAnsi="华文仿宋" w:eastAsia="华文仿宋" w:cs="华文仿宋"/>
          <w:sz w:val="32"/>
          <w:szCs w:val="32"/>
        </w:rPr>
        <w:t>2024年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19</w:t>
      </w:r>
      <w:r>
        <w:rPr>
          <w:rFonts w:hint="eastAsia" w:ascii="华文仿宋" w:hAnsi="华文仿宋" w:eastAsia="华文仿宋" w:cs="华文仿宋"/>
          <w:sz w:val="32"/>
          <w:szCs w:val="32"/>
        </w:rPr>
        <w:t>日作出的《不予行政处罚决定书》（洛公瀍河（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东</w:t>
      </w:r>
      <w:r>
        <w:rPr>
          <w:rFonts w:hint="eastAsia" w:ascii="华文仿宋" w:hAnsi="华文仿宋" w:eastAsia="华文仿宋" w:cs="华文仿宋"/>
          <w:sz w:val="32"/>
          <w:szCs w:val="32"/>
        </w:rPr>
        <w:t>）不罚决字</w:t>
      </w:r>
      <w:r>
        <w:rPr>
          <w:rFonts w:hint="eastAsia" w:ascii="仿宋" w:hAnsi="仿宋" w:eastAsia="仿宋" w:cs="仿宋"/>
          <w:sz w:val="32"/>
          <w:szCs w:val="28"/>
        </w:rPr>
        <w:t>〔202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28"/>
        </w:rPr>
        <w:t>〕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44</w:t>
      </w:r>
      <w:r>
        <w:rPr>
          <w:rFonts w:hint="eastAsia" w:ascii="华文仿宋" w:hAnsi="华文仿宋" w:eastAsia="华文仿宋" w:cs="华文仿宋"/>
          <w:sz w:val="32"/>
          <w:szCs w:val="32"/>
        </w:rPr>
        <w:t>号）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责令重新处理。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华文仿宋" w:hAnsi="华文仿宋" w:eastAsia="华文仿宋" w:cs="华文仿宋"/>
          <w:sz w:val="32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申请人称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  <w:t>2024年4月19日18时许，申请人的儿子和女儿开车送申请人回家，行驶至58号道路口，因东前有垃圾桶阻路，西后肉食店几十年未开过门，遂停在孔子问礼碑对面黑车后，大门对面3、4米远处，车不离人是暂停（不是停车不当）；随后有个60多岁的女人高声叫嚷不让停，大门里出来两男一女年轻人，手指着我孩子们的脸连扑几次到面前辱骂不止，孩子们见解释不通就把车开离大门对面，停在58号楼道口，同时卖菜女把垃圾桶搬到路牙上面，我刚下车站稳，对方四人又扑到面前（不是三人），丁某某用拳头打在我胸部导致我仰面倒地（不是用手推倒），我浑身瘫软疼痛无力，卖面条男把我抱在凳子上，当场围观人数多见证了真实发生经过，我身心遭他伤害，住院1月至今未恢复，无法正常上楼回家，我强烈反对不公正的，不负责任的作出这份不予行政处罚决定书，恳请政府领导查明真相，讨回公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  <w:highlight w:val="none"/>
        </w:rPr>
        <w:t>被申请人辩称：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2024年4月19日18时许，在洛阳市瀍河回族区东关大街孔子问礼碑东侧附近，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申请人女儿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陈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报警称，因停车问题，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丁某某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一家三人与其发生辱骂争吵，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其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间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被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丁某某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用手推倒在地。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民警接到报警到达现场后，向当事双方了解情况，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丁某某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一方认为双方只是发生了争吵，并未有肢体接触，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倒地与其无关。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一方坚称其倒地系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丁某某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对其胸部殴打推搡所至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现场调解未果，后将相关人员带回，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被其家人带回家中。到所后再次询问当事双方，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陈某某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称双方正在发生争吵时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被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丁某某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推倒在地，但无明显外伤，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丁某某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一家仍称只是发生争吵，并未动手推搡。因当时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感觉身体无碍，报警人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陈某某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告知民警，如若母亲没有啥事便不要求公安机关处理此事，后自行离开，当晚21时许民警联系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陈某某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告知走访情况及现场有无监控设备时，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陈某某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未接通电话。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2024年4月22日上午，民警对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在洛阳市正骨医院制作询问笔录，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并及时对事发时周边群众开展走访调查，调查后均无法证实高某某倒地系丁某某故意实施伤害行为所为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经调取现场唯一监控，发现该监控属于东关社区，此监控未通电，属于停用状态。2024年6月18日，民警通过查看执法记录仪，再次电话走访一名现场围观群众，该群众称其到场时，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丁某某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母亲与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都坐在地上，其未看到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如何倒地。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经多方开展询问及走访工作，现已对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陈某某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丁某某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开展相关询问，对现场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已明确身份信息的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围观人员开展走访调查。现有证据无法证实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丁某某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陈某某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一家发生争吵时，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丁某某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故意对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推搡，导致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倒地受伤。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综上所述，经公安机关多方走访调查取证，现有证据均无法证实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倒地受伤系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丁某某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故意实施伤害行为所为，因控告的违法事实不能成立，根据《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中华人民共和国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治安管理处罚法》第九十五条第二项之规定，对违法嫌疑人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丁某某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依法作出不予处罚决定。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我所作出该处理结果，事实清楚，证据确实充分，程序正当，法律依据使用正确，未存在违法及不合理处。</w:t>
      </w:r>
    </w:p>
    <w:p>
      <w:pPr>
        <w:pStyle w:val="4"/>
        <w:ind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经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val="en-US" w:eastAsia="zh-CN"/>
        </w:rPr>
        <w:t>审理查明：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2024年4月19日18时许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申请人之子及申请人之女陈某某开车送申请人回家，行驶至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洛阳市瀍河回族区东关大街孔子问礼碑东侧附近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时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因停车问题，申请人一方与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丁某某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一家发生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争执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之女陈某某</w:t>
      </w:r>
      <w:r>
        <w:rPr>
          <w:rFonts w:hint="eastAsia" w:ascii="华文仿宋" w:hAnsi="华文仿宋" w:eastAsia="华文仿宋" w:cs="华文仿宋"/>
          <w:sz w:val="32"/>
          <w:szCs w:val="32"/>
        </w:rPr>
        <w:t>报警指控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丁某某用拳头打在申请人胸部，致申请人倒地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民警立即出警至现场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向申请人、陈某某、丁某某等人进行询问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，现场调解无果，民警将双方带回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派出所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>2024年4月22日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陈某某</w:t>
      </w:r>
      <w:r>
        <w:rPr>
          <w:rFonts w:hint="eastAsia" w:ascii="华文仿宋" w:hAnsi="华文仿宋" w:eastAsia="华文仿宋" w:cs="华文仿宋"/>
          <w:sz w:val="32"/>
          <w:szCs w:val="32"/>
        </w:rPr>
        <w:t>再次报警，称申请人因此事身体不适住院，要求公安机关立案调查，被申请人予以受案登记后即进行相关调查取证工作，最终认定申请人指控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丁某某致其倒地</w:t>
      </w:r>
      <w:r>
        <w:rPr>
          <w:rFonts w:hint="eastAsia" w:ascii="华文仿宋" w:hAnsi="华文仿宋" w:eastAsia="华文仿宋" w:cs="华文仿宋"/>
          <w:sz w:val="32"/>
          <w:szCs w:val="32"/>
        </w:rPr>
        <w:t>的证据不足，违法事实不能成立。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2024年6月19日</w:t>
      </w:r>
      <w:r>
        <w:rPr>
          <w:rFonts w:hint="eastAsia" w:ascii="华文仿宋" w:hAnsi="华文仿宋" w:eastAsia="华文仿宋" w:cs="华文仿宋"/>
          <w:sz w:val="32"/>
          <w:szCs w:val="32"/>
        </w:rPr>
        <w:t>，根据《中华人民共和国治安管理处罚法》第九十五条第（二）项之规定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被申请人作出涉案不予行政处罚决定，并于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次</w:t>
      </w:r>
      <w:r>
        <w:rPr>
          <w:rFonts w:hint="eastAsia" w:ascii="华文仿宋" w:hAnsi="华文仿宋" w:eastAsia="华文仿宋" w:cs="华文仿宋"/>
          <w:sz w:val="32"/>
          <w:szCs w:val="32"/>
        </w:rPr>
        <w:t>日送达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丁某某</w:t>
      </w:r>
      <w:r>
        <w:rPr>
          <w:rFonts w:hint="eastAsia" w:ascii="华文仿宋" w:hAnsi="华文仿宋" w:eastAsia="华文仿宋" w:cs="华文仿宋"/>
          <w:sz w:val="32"/>
          <w:szCs w:val="32"/>
        </w:rPr>
        <w:t>和申请人。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华文仿宋" w:hAnsi="华文仿宋" w:eastAsia="华文仿宋" w:cs="华文仿宋"/>
          <w:sz w:val="32"/>
          <w:szCs w:val="36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本机关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val="en-US" w:eastAsia="zh-CN"/>
        </w:rPr>
        <w:t>审理后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认为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eastAsia="zh-CN"/>
        </w:rPr>
        <w:t>：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根据《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中华人民共和国治安管理处罚法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》第七条第一款之规定，被申请人具有负责辖区内治安管理工作的法定职责。被申请人接警后，依法履行了受案、调查、作出决定及送达等法定程序，结合相关证据材料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不能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  <w:lang w:val="en-US" w:eastAsia="zh-CN"/>
        </w:rPr>
        <w:t>认定申请人指控丁某某的违法事实成立，根据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《中华人民共和国治安管理处罚法》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  <w:lang w:val="en-US" w:eastAsia="zh-CN"/>
        </w:rPr>
        <w:t>第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九十五条第（二）项及《公安机关办理行政案件程序规定》第一百六十五条、第一百七十二条等规定，被申请人作出的不予行政处罚决定事实认定清楚，适用法律正确，办案程序合法。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综上，根据《中华人民共和国行政复议法》第六十八条之规定，本机关决定如下：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维持被申请人于2024年6月19日作出的《不予行政处罚决定书》（洛公瀍河（东）不罚决字〔2024〕44号）。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6"/>
        </w:rPr>
      </w:pPr>
      <w:r>
        <w:rPr>
          <w:rFonts w:hint="eastAsia" w:ascii="华文仿宋" w:hAnsi="华文仿宋" w:eastAsia="华文仿宋" w:cs="华文仿宋"/>
          <w:sz w:val="32"/>
          <w:szCs w:val="36"/>
        </w:rPr>
        <w:t>申请人如不服本决定，可以自接到本决定书之日起15日内向人民法院提起行政诉讼。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6"/>
        </w:rPr>
      </w:pPr>
    </w:p>
    <w:p>
      <w:pPr>
        <w:spacing w:line="600" w:lineRule="exact"/>
        <w:ind w:right="1280"/>
        <w:rPr>
          <w:rFonts w:hint="eastAsia" w:ascii="仿宋" w:hAnsi="仿宋" w:eastAsia="仿宋" w:cs="仿宋"/>
          <w:sz w:val="32"/>
          <w:szCs w:val="36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6"/>
        </w:rPr>
        <w:t>202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6"/>
        </w:rPr>
        <w:t>年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6"/>
        </w:rPr>
        <w:t>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17日</w:t>
      </w:r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2B315A"/>
    <w:rsid w:val="000137A2"/>
    <w:rsid w:val="00020E6F"/>
    <w:rsid w:val="000265CB"/>
    <w:rsid w:val="0009573E"/>
    <w:rsid w:val="000A5F57"/>
    <w:rsid w:val="000B0DF6"/>
    <w:rsid w:val="000F47A3"/>
    <w:rsid w:val="00104994"/>
    <w:rsid w:val="001721EB"/>
    <w:rsid w:val="00175655"/>
    <w:rsid w:val="00186F41"/>
    <w:rsid w:val="001B75C9"/>
    <w:rsid w:val="001D0468"/>
    <w:rsid w:val="001E312A"/>
    <w:rsid w:val="001F701D"/>
    <w:rsid w:val="00206C87"/>
    <w:rsid w:val="00237B93"/>
    <w:rsid w:val="00245087"/>
    <w:rsid w:val="00280356"/>
    <w:rsid w:val="002960AC"/>
    <w:rsid w:val="002B315A"/>
    <w:rsid w:val="002D2C64"/>
    <w:rsid w:val="003100CB"/>
    <w:rsid w:val="0031085F"/>
    <w:rsid w:val="003316DD"/>
    <w:rsid w:val="00352BC7"/>
    <w:rsid w:val="0036454C"/>
    <w:rsid w:val="00372D11"/>
    <w:rsid w:val="003B5822"/>
    <w:rsid w:val="003C7FC0"/>
    <w:rsid w:val="003E0FFA"/>
    <w:rsid w:val="00414274"/>
    <w:rsid w:val="004350EC"/>
    <w:rsid w:val="00443590"/>
    <w:rsid w:val="00446A9E"/>
    <w:rsid w:val="00446CB5"/>
    <w:rsid w:val="00464B23"/>
    <w:rsid w:val="00465B07"/>
    <w:rsid w:val="00466E9A"/>
    <w:rsid w:val="00471938"/>
    <w:rsid w:val="00492D97"/>
    <w:rsid w:val="004A3207"/>
    <w:rsid w:val="004B6CAC"/>
    <w:rsid w:val="00501FC1"/>
    <w:rsid w:val="00523494"/>
    <w:rsid w:val="0054679C"/>
    <w:rsid w:val="005833D0"/>
    <w:rsid w:val="005A3FBF"/>
    <w:rsid w:val="005C2136"/>
    <w:rsid w:val="005D465B"/>
    <w:rsid w:val="005D606D"/>
    <w:rsid w:val="005F1216"/>
    <w:rsid w:val="00622407"/>
    <w:rsid w:val="0065532A"/>
    <w:rsid w:val="00666DE1"/>
    <w:rsid w:val="006A0F4E"/>
    <w:rsid w:val="006F0378"/>
    <w:rsid w:val="007068DC"/>
    <w:rsid w:val="00730D61"/>
    <w:rsid w:val="00741081"/>
    <w:rsid w:val="00783227"/>
    <w:rsid w:val="00826965"/>
    <w:rsid w:val="00846E9D"/>
    <w:rsid w:val="00850765"/>
    <w:rsid w:val="00862958"/>
    <w:rsid w:val="008752D7"/>
    <w:rsid w:val="00877AD4"/>
    <w:rsid w:val="008838CB"/>
    <w:rsid w:val="00890BC1"/>
    <w:rsid w:val="008A3484"/>
    <w:rsid w:val="008D0220"/>
    <w:rsid w:val="008D1BC0"/>
    <w:rsid w:val="00907381"/>
    <w:rsid w:val="0093692A"/>
    <w:rsid w:val="00946FA5"/>
    <w:rsid w:val="00950D41"/>
    <w:rsid w:val="00974772"/>
    <w:rsid w:val="0098785F"/>
    <w:rsid w:val="00987C1E"/>
    <w:rsid w:val="00990534"/>
    <w:rsid w:val="009D3193"/>
    <w:rsid w:val="00A12FC7"/>
    <w:rsid w:val="00A40429"/>
    <w:rsid w:val="00A8288C"/>
    <w:rsid w:val="00A84CB5"/>
    <w:rsid w:val="00A90513"/>
    <w:rsid w:val="00A93471"/>
    <w:rsid w:val="00A96646"/>
    <w:rsid w:val="00AA7615"/>
    <w:rsid w:val="00AB714C"/>
    <w:rsid w:val="00B57C9D"/>
    <w:rsid w:val="00B74149"/>
    <w:rsid w:val="00BC0FE7"/>
    <w:rsid w:val="00BF7285"/>
    <w:rsid w:val="00C04AA2"/>
    <w:rsid w:val="00C050F0"/>
    <w:rsid w:val="00C104DD"/>
    <w:rsid w:val="00C37719"/>
    <w:rsid w:val="00C524F6"/>
    <w:rsid w:val="00C53EE4"/>
    <w:rsid w:val="00C61BA5"/>
    <w:rsid w:val="00C71B30"/>
    <w:rsid w:val="00CB7E32"/>
    <w:rsid w:val="00CD6530"/>
    <w:rsid w:val="00D03381"/>
    <w:rsid w:val="00D214E6"/>
    <w:rsid w:val="00D34B4D"/>
    <w:rsid w:val="00D63240"/>
    <w:rsid w:val="00D77FD9"/>
    <w:rsid w:val="00DE6B07"/>
    <w:rsid w:val="00E07ED9"/>
    <w:rsid w:val="00E156F0"/>
    <w:rsid w:val="00E52965"/>
    <w:rsid w:val="00E7160D"/>
    <w:rsid w:val="00E906DA"/>
    <w:rsid w:val="00EA35F2"/>
    <w:rsid w:val="00EB0343"/>
    <w:rsid w:val="00F80848"/>
    <w:rsid w:val="00FC47F1"/>
    <w:rsid w:val="00FD7CC3"/>
    <w:rsid w:val="014E6A7B"/>
    <w:rsid w:val="0163365B"/>
    <w:rsid w:val="01772D37"/>
    <w:rsid w:val="01B27836"/>
    <w:rsid w:val="021D229B"/>
    <w:rsid w:val="02DE4B9A"/>
    <w:rsid w:val="03570913"/>
    <w:rsid w:val="0530338A"/>
    <w:rsid w:val="0693452C"/>
    <w:rsid w:val="06FD0DFE"/>
    <w:rsid w:val="08444A26"/>
    <w:rsid w:val="088A7403"/>
    <w:rsid w:val="092A667A"/>
    <w:rsid w:val="098A1A45"/>
    <w:rsid w:val="09A66753"/>
    <w:rsid w:val="0A4A0473"/>
    <w:rsid w:val="0A9A2123"/>
    <w:rsid w:val="0ABB4A2C"/>
    <w:rsid w:val="0ADE07E5"/>
    <w:rsid w:val="0B440899"/>
    <w:rsid w:val="0C090C1D"/>
    <w:rsid w:val="0DB76C9C"/>
    <w:rsid w:val="0DE277B4"/>
    <w:rsid w:val="0E470367"/>
    <w:rsid w:val="0FB0474F"/>
    <w:rsid w:val="10651B1B"/>
    <w:rsid w:val="106F40C5"/>
    <w:rsid w:val="10930019"/>
    <w:rsid w:val="10F468BD"/>
    <w:rsid w:val="113743A6"/>
    <w:rsid w:val="113D0264"/>
    <w:rsid w:val="128B14A3"/>
    <w:rsid w:val="139438DD"/>
    <w:rsid w:val="142F2280"/>
    <w:rsid w:val="14CD3DCC"/>
    <w:rsid w:val="15A426ED"/>
    <w:rsid w:val="15BC2383"/>
    <w:rsid w:val="16096967"/>
    <w:rsid w:val="163B6D13"/>
    <w:rsid w:val="16FF4991"/>
    <w:rsid w:val="172B0B5F"/>
    <w:rsid w:val="17C8623F"/>
    <w:rsid w:val="18057602"/>
    <w:rsid w:val="181930B6"/>
    <w:rsid w:val="1A205B94"/>
    <w:rsid w:val="1A54747D"/>
    <w:rsid w:val="1B4B0B65"/>
    <w:rsid w:val="1B916525"/>
    <w:rsid w:val="1BB90E2F"/>
    <w:rsid w:val="1C5A3F84"/>
    <w:rsid w:val="1CC83E7C"/>
    <w:rsid w:val="1CD71B6E"/>
    <w:rsid w:val="1CDD66A6"/>
    <w:rsid w:val="1D240058"/>
    <w:rsid w:val="1DA1618E"/>
    <w:rsid w:val="1DE57F0B"/>
    <w:rsid w:val="1E7E781A"/>
    <w:rsid w:val="1EF36C51"/>
    <w:rsid w:val="1FD12FE5"/>
    <w:rsid w:val="1FED5A85"/>
    <w:rsid w:val="203171E6"/>
    <w:rsid w:val="20494804"/>
    <w:rsid w:val="216E0613"/>
    <w:rsid w:val="21A60F63"/>
    <w:rsid w:val="21AE2AB8"/>
    <w:rsid w:val="21DC0CC6"/>
    <w:rsid w:val="221E1CE0"/>
    <w:rsid w:val="223D7910"/>
    <w:rsid w:val="223E7820"/>
    <w:rsid w:val="22794E74"/>
    <w:rsid w:val="229E2B2D"/>
    <w:rsid w:val="23753390"/>
    <w:rsid w:val="24256B05"/>
    <w:rsid w:val="24A70A4E"/>
    <w:rsid w:val="24D41EC3"/>
    <w:rsid w:val="24DC40D7"/>
    <w:rsid w:val="24F2594D"/>
    <w:rsid w:val="26883346"/>
    <w:rsid w:val="26CA4474"/>
    <w:rsid w:val="270A0791"/>
    <w:rsid w:val="273F6061"/>
    <w:rsid w:val="27B949A9"/>
    <w:rsid w:val="280758F1"/>
    <w:rsid w:val="29037B8D"/>
    <w:rsid w:val="290C7CD7"/>
    <w:rsid w:val="29831730"/>
    <w:rsid w:val="2A952A67"/>
    <w:rsid w:val="2AB87B72"/>
    <w:rsid w:val="2B3C2EE3"/>
    <w:rsid w:val="2B6D3FF4"/>
    <w:rsid w:val="2B906A8F"/>
    <w:rsid w:val="2D3415BE"/>
    <w:rsid w:val="2DDE35BA"/>
    <w:rsid w:val="2DF908F0"/>
    <w:rsid w:val="2E1F6A3B"/>
    <w:rsid w:val="2E4D7395"/>
    <w:rsid w:val="2F4847B2"/>
    <w:rsid w:val="2FF71A92"/>
    <w:rsid w:val="300C57D0"/>
    <w:rsid w:val="30536487"/>
    <w:rsid w:val="30DF2B73"/>
    <w:rsid w:val="311C17EC"/>
    <w:rsid w:val="3126266B"/>
    <w:rsid w:val="321910C2"/>
    <w:rsid w:val="32634DFD"/>
    <w:rsid w:val="32807B59"/>
    <w:rsid w:val="33EC76A0"/>
    <w:rsid w:val="3416044E"/>
    <w:rsid w:val="348C0085"/>
    <w:rsid w:val="34A833ED"/>
    <w:rsid w:val="34B41D3C"/>
    <w:rsid w:val="34CD6999"/>
    <w:rsid w:val="34E84A10"/>
    <w:rsid w:val="368F77F3"/>
    <w:rsid w:val="369D23B3"/>
    <w:rsid w:val="36C75866"/>
    <w:rsid w:val="38E53F50"/>
    <w:rsid w:val="397B107A"/>
    <w:rsid w:val="3ABF4DC8"/>
    <w:rsid w:val="3B5222AF"/>
    <w:rsid w:val="3BE80D72"/>
    <w:rsid w:val="3C8D46A7"/>
    <w:rsid w:val="3C9079C5"/>
    <w:rsid w:val="3D5A122E"/>
    <w:rsid w:val="3DFA443D"/>
    <w:rsid w:val="3E421176"/>
    <w:rsid w:val="3E490138"/>
    <w:rsid w:val="3E557C03"/>
    <w:rsid w:val="3EF80EB4"/>
    <w:rsid w:val="3FBE7F13"/>
    <w:rsid w:val="40104C12"/>
    <w:rsid w:val="401766FF"/>
    <w:rsid w:val="404761A1"/>
    <w:rsid w:val="40912771"/>
    <w:rsid w:val="40A30E78"/>
    <w:rsid w:val="41B657FE"/>
    <w:rsid w:val="42963AC4"/>
    <w:rsid w:val="435A332E"/>
    <w:rsid w:val="436D7417"/>
    <w:rsid w:val="43F10EE4"/>
    <w:rsid w:val="45F6601B"/>
    <w:rsid w:val="48D63784"/>
    <w:rsid w:val="48FC455A"/>
    <w:rsid w:val="49382AE4"/>
    <w:rsid w:val="49950546"/>
    <w:rsid w:val="49C906DD"/>
    <w:rsid w:val="49DC334D"/>
    <w:rsid w:val="4A3563A4"/>
    <w:rsid w:val="4ADE0AA9"/>
    <w:rsid w:val="4AE43C92"/>
    <w:rsid w:val="4AF14D71"/>
    <w:rsid w:val="4B110796"/>
    <w:rsid w:val="4B17381D"/>
    <w:rsid w:val="4CAD5597"/>
    <w:rsid w:val="4D074848"/>
    <w:rsid w:val="4EBE121B"/>
    <w:rsid w:val="4F075432"/>
    <w:rsid w:val="50EF2622"/>
    <w:rsid w:val="51714D12"/>
    <w:rsid w:val="51C5066C"/>
    <w:rsid w:val="52362E85"/>
    <w:rsid w:val="527978FA"/>
    <w:rsid w:val="53784B50"/>
    <w:rsid w:val="54221AEB"/>
    <w:rsid w:val="553328D0"/>
    <w:rsid w:val="559E4AB5"/>
    <w:rsid w:val="55A808B1"/>
    <w:rsid w:val="562E7748"/>
    <w:rsid w:val="568375FA"/>
    <w:rsid w:val="57D32249"/>
    <w:rsid w:val="581C3E8F"/>
    <w:rsid w:val="593815C9"/>
    <w:rsid w:val="59CE6BC8"/>
    <w:rsid w:val="5B6E3D67"/>
    <w:rsid w:val="5B757DA2"/>
    <w:rsid w:val="5BD9456F"/>
    <w:rsid w:val="5C560102"/>
    <w:rsid w:val="5CBA4277"/>
    <w:rsid w:val="5D172B1C"/>
    <w:rsid w:val="5D1F463A"/>
    <w:rsid w:val="5D482985"/>
    <w:rsid w:val="5D962247"/>
    <w:rsid w:val="5EB92BF0"/>
    <w:rsid w:val="5F074FDA"/>
    <w:rsid w:val="5F113403"/>
    <w:rsid w:val="5FD8506F"/>
    <w:rsid w:val="60AA20C1"/>
    <w:rsid w:val="61517C27"/>
    <w:rsid w:val="61520F20"/>
    <w:rsid w:val="617670F5"/>
    <w:rsid w:val="618D519E"/>
    <w:rsid w:val="61C85437"/>
    <w:rsid w:val="62116290"/>
    <w:rsid w:val="633111F1"/>
    <w:rsid w:val="63855CD6"/>
    <w:rsid w:val="6465417C"/>
    <w:rsid w:val="64B174D2"/>
    <w:rsid w:val="64FB7537"/>
    <w:rsid w:val="65FB335C"/>
    <w:rsid w:val="65FF283D"/>
    <w:rsid w:val="665D648F"/>
    <w:rsid w:val="66D41FB8"/>
    <w:rsid w:val="66F8580B"/>
    <w:rsid w:val="67720B1D"/>
    <w:rsid w:val="685474CC"/>
    <w:rsid w:val="686073FD"/>
    <w:rsid w:val="68751ABF"/>
    <w:rsid w:val="693A3658"/>
    <w:rsid w:val="69572A79"/>
    <w:rsid w:val="699944D1"/>
    <w:rsid w:val="6A083F67"/>
    <w:rsid w:val="6A9D61FF"/>
    <w:rsid w:val="6B1A059A"/>
    <w:rsid w:val="6B5F5EE0"/>
    <w:rsid w:val="6C662F3F"/>
    <w:rsid w:val="6D070F74"/>
    <w:rsid w:val="6D805164"/>
    <w:rsid w:val="6E553363"/>
    <w:rsid w:val="6E6A42E6"/>
    <w:rsid w:val="6F51652A"/>
    <w:rsid w:val="6FCE02B5"/>
    <w:rsid w:val="6FD53A7C"/>
    <w:rsid w:val="6FDA3BC5"/>
    <w:rsid w:val="70012708"/>
    <w:rsid w:val="706436E2"/>
    <w:rsid w:val="70B3484B"/>
    <w:rsid w:val="70F94764"/>
    <w:rsid w:val="710343E6"/>
    <w:rsid w:val="72A5093A"/>
    <w:rsid w:val="738F228D"/>
    <w:rsid w:val="740D420C"/>
    <w:rsid w:val="743C3497"/>
    <w:rsid w:val="74A34027"/>
    <w:rsid w:val="761503F8"/>
    <w:rsid w:val="76276AEF"/>
    <w:rsid w:val="763052FA"/>
    <w:rsid w:val="767E5DA3"/>
    <w:rsid w:val="769C2FB8"/>
    <w:rsid w:val="76C12B8A"/>
    <w:rsid w:val="76E351D9"/>
    <w:rsid w:val="77E61994"/>
    <w:rsid w:val="780B4E68"/>
    <w:rsid w:val="786B613C"/>
    <w:rsid w:val="78871D3C"/>
    <w:rsid w:val="79445A1A"/>
    <w:rsid w:val="7956734C"/>
    <w:rsid w:val="79836C04"/>
    <w:rsid w:val="7A907FBD"/>
    <w:rsid w:val="7B2D0EC7"/>
    <w:rsid w:val="7B3B31A7"/>
    <w:rsid w:val="7C1012DF"/>
    <w:rsid w:val="7C43454C"/>
    <w:rsid w:val="7CE36E3F"/>
    <w:rsid w:val="7D1939D9"/>
    <w:rsid w:val="7D725B67"/>
    <w:rsid w:val="7D94676B"/>
    <w:rsid w:val="7E2E4A11"/>
    <w:rsid w:val="7EB870AF"/>
    <w:rsid w:val="7EFD5EDD"/>
    <w:rsid w:val="7F062E2D"/>
    <w:rsid w:val="7F4E40FF"/>
    <w:rsid w:val="7FDC1384"/>
    <w:rsid w:val="7FEF2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Body Text"/>
    <w:basedOn w:val="1"/>
    <w:next w:val="1"/>
    <w:autoRedefine/>
    <w:qFormat/>
    <w:uiPriority w:val="1"/>
    <w:rPr>
      <w:rFonts w:eastAsia="华文仿宋"/>
      <w:sz w:val="32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FollowedHyperlink"/>
    <w:basedOn w:val="9"/>
    <w:autoRedefine/>
    <w:qFormat/>
    <w:uiPriority w:val="0"/>
    <w:rPr>
      <w:color w:val="333333"/>
      <w:u w:val="none"/>
    </w:rPr>
  </w:style>
  <w:style w:type="character" w:styleId="11">
    <w:name w:val="Hyperlink"/>
    <w:basedOn w:val="9"/>
    <w:autoRedefine/>
    <w:qFormat/>
    <w:uiPriority w:val="0"/>
    <w:rPr>
      <w:color w:val="333333"/>
      <w:u w:val="none"/>
    </w:rPr>
  </w:style>
  <w:style w:type="character" w:styleId="12">
    <w:name w:val="HTML Code"/>
    <w:basedOn w:val="9"/>
    <w:autoRedefine/>
    <w:qFormat/>
    <w:uiPriority w:val="0"/>
    <w:rPr>
      <w:rFonts w:ascii="Courier New" w:hAnsi="Courier New"/>
      <w:sz w:val="20"/>
    </w:rPr>
  </w:style>
  <w:style w:type="character" w:customStyle="1" w:styleId="13">
    <w:name w:val="calendar-head__text-display"/>
    <w:basedOn w:val="9"/>
    <w:autoRedefine/>
    <w:qFormat/>
    <w:uiPriority w:val="0"/>
    <w:rPr>
      <w:vanish/>
    </w:rPr>
  </w:style>
  <w:style w:type="character" w:customStyle="1" w:styleId="14">
    <w:name w:val="calendar-head__next-range-btn"/>
    <w:basedOn w:val="9"/>
    <w:autoRedefine/>
    <w:qFormat/>
    <w:uiPriority w:val="0"/>
    <w:rPr>
      <w:vanish/>
    </w:rPr>
  </w:style>
  <w:style w:type="character" w:customStyle="1" w:styleId="15">
    <w:name w:val="active"/>
    <w:basedOn w:val="9"/>
    <w:autoRedefine/>
    <w:qFormat/>
    <w:uiPriority w:val="0"/>
    <w:rPr>
      <w:color w:val="333333"/>
    </w:rPr>
  </w:style>
  <w:style w:type="character" w:customStyle="1" w:styleId="16">
    <w:name w:val="calendar-head__next-month-btn"/>
    <w:basedOn w:val="9"/>
    <w:autoRedefine/>
    <w:qFormat/>
    <w:uiPriority w:val="0"/>
  </w:style>
  <w:style w:type="character" w:customStyle="1" w:styleId="17">
    <w:name w:val="hover"/>
    <w:basedOn w:val="9"/>
    <w:autoRedefine/>
    <w:qFormat/>
    <w:uiPriority w:val="0"/>
    <w:rPr>
      <w:color w:val="2F6EA2"/>
    </w:rPr>
  </w:style>
  <w:style w:type="character" w:customStyle="1" w:styleId="18">
    <w:name w:val="calendar-head__year-range"/>
    <w:basedOn w:val="9"/>
    <w:autoRedefine/>
    <w:qFormat/>
    <w:uiPriority w:val="0"/>
    <w:rPr>
      <w:vanish/>
    </w:rPr>
  </w:style>
  <w:style w:type="character" w:customStyle="1" w:styleId="19">
    <w:name w:val="calendar-head__prev-range-btn"/>
    <w:basedOn w:val="9"/>
    <w:autoRedefine/>
    <w:qFormat/>
    <w:uiPriority w:val="0"/>
    <w:rPr>
      <w:vanish/>
    </w:rPr>
  </w:style>
  <w:style w:type="character" w:customStyle="1" w:styleId="20">
    <w:name w:val="calendar-head__next-year-btn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2029</Words>
  <Characters>2097</Characters>
  <Lines>24</Lines>
  <Paragraphs>6</Paragraphs>
  <TotalTime>31</TotalTime>
  <ScaleCrop>false</ScaleCrop>
  <LinksUpToDate>false</LinksUpToDate>
  <CharactersWithSpaces>2149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2021-03-17T06:40:00Z</dcterms:created>
  <dc:creator>Administrator</dc:creator>
  <cp:lastModifiedBy>Administrator</cp:lastModifiedBy>
  <cp:lastPrinted>2024-04-08T06:39:00Z</cp:lastPrinted>
  <dcterms:modified xsi:type="dcterms:W3CDTF">2024-11-07T01:31:41Z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4A5F382E2A4B490BA8CA4DC54F31C47E_13</vt:lpwstr>
  </property>
</Properties>
</file>