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32"/>
          <w:szCs w:val="28"/>
        </w:rPr>
        <w:t>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〔2024〕第49号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梁某某。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不服被申请人未在法定期限内对其投诉举报事项作出回复，</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1、确认被申请人超过法定期限未告知申请人举报事项办理结果违法。2、责令被申请人依法限期书面告知处理结果。</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申请人于2024年4月3日向被申请人书面邮寄一份标题为投诉举报函的投诉举报材料。后经邮政系统网查询得知被申请人于2024年4月6日签收送达。然被申请人至今未告知申请人本案的办结结果。申请人不服，遂复议。</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另外补充说明:“本案中，申请人采用挂号信向被申请人投诉举报，根据信息对等原则被申请人应同样经由邮寄渠道向申请人书面回复。如需通过其他渠道反馈，应事先征求申请人意见并获得同意，确保能够送达至申请人。如被申请人以其他形式回复又未确保能够送达给申请人即完全违背了习近平:在为民办实事中落实以人为本的理念。</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申请人认为，根据《市场监督管理行政处罚程序规定》第六十四条规定的办案期限，截止至今，被申请人未告知申请人该案的办结结果，不能证明被申请人已履行了法定职责。</w:t>
      </w:r>
    </w:p>
    <w:p>
      <w:pPr>
        <w:keepNext w:val="0"/>
        <w:keepLines w:val="0"/>
        <w:pageBreakBefore w:val="0"/>
        <w:widowControl w:val="0"/>
        <w:kinsoku/>
        <w:wordWrap w:val="0"/>
        <w:overflowPunct/>
        <w:topLinePunct w:val="0"/>
        <w:autoSpaceDE/>
        <w:autoSpaceDN/>
        <w:bidi w:val="0"/>
        <w:adjustRightInd/>
        <w:snapToGrid/>
        <w:spacing w:line="570" w:lineRule="exact"/>
        <w:ind w:firstLine="643"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sz w:val="32"/>
          <w:szCs w:val="32"/>
        </w:rPr>
        <w:t>2024年4月，申请人以邮寄方式书面向被申请人投诉举报，称</w:t>
      </w:r>
      <w:r>
        <w:rPr>
          <w:rFonts w:hint="eastAsia" w:ascii="华文仿宋" w:hAnsi="华文仿宋" w:eastAsia="华文仿宋" w:cs="华文仿宋"/>
          <w:sz w:val="32"/>
          <w:szCs w:val="32"/>
          <w:lang w:eastAsia="zh-CN"/>
        </w:rPr>
        <w:t>某</w:t>
      </w:r>
      <w:r>
        <w:rPr>
          <w:rFonts w:hint="eastAsia" w:ascii="华文仿宋" w:hAnsi="华文仿宋" w:eastAsia="华文仿宋" w:cs="华文仿宋"/>
          <w:sz w:val="32"/>
          <w:szCs w:val="32"/>
        </w:rPr>
        <w:t>烙馍坊(以下简称“被投诉举报人”)生产的烙馍未标注生产日期，涉嫌不符合食品安全标准，请求依法查处并给予赔偿奖励。</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对其投诉事项，经审查符合受理条件，被申请人于4月10日予以受理，并以邮寄方式书面告知申请人。对其举报事项，告知其正在核查中。</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涉案食品属于热食类散装食品，被投诉举报人根据购买者需求现场制售，口头告知其生产日期均为当天。另涉案食品包装上标注有食品名称、生产经营者名称、地址、联系方式等内容，已保证了购买者的知情权，虽然未标注生产日期但是并不必然导致出现食品安全问题。</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投诉举报目的不正当。2024年4月3日至9日仅短短7天时间,被申请人共收到申请人关于类似本案食品标签问题的投诉举报信15封，涉案金额均较小却要求高额赔偿，明显超出一般消费者的合理诉求，牟利目的突出，背离了《中华人民共和国食品安全法》和《</w:t>
      </w:r>
      <w:r>
        <w:rPr>
          <w:rFonts w:hint="eastAsia" w:ascii="华文仿宋" w:hAnsi="华文仿宋" w:eastAsia="华文仿宋" w:cs="华文仿宋"/>
          <w:sz w:val="32"/>
          <w:szCs w:val="32"/>
          <w:lang w:eastAsia="zh-CN"/>
        </w:rPr>
        <w:t>中华人民共和国</w:t>
      </w:r>
      <w:bookmarkStart w:id="0" w:name="_GoBack"/>
      <w:bookmarkEnd w:id="0"/>
      <w:r>
        <w:rPr>
          <w:rFonts w:hint="eastAsia" w:ascii="华文仿宋" w:hAnsi="华文仿宋" w:eastAsia="华文仿宋" w:cs="华文仿宋"/>
          <w:sz w:val="32"/>
          <w:szCs w:val="32"/>
        </w:rPr>
        <w:t>消费者权益保护法》及《消费者权益保护法实施条例》保护消费者合法权益的初衷，其诉求不正当。</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rPr>
        <w:t>综上，恳请依法驳回申请人的复议请求。</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2024年3月27日，申请人购买清真烙馍1包。2024年4月3日，申请人向被申请人书面邮寄《投诉举报函》，2024年4月6日被申请人签收该邮件。2024年4月10日，被申请人出具案件受理告知函。</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kern w:val="2"/>
          <w:sz w:val="32"/>
          <w:szCs w:val="32"/>
          <w:highlight w:val="none"/>
          <w:lang w:val="en-US" w:eastAsia="zh-CN" w:bidi="ar-SA"/>
        </w:rPr>
        <w:t>被申请人于2024年4月6日签收申请人邮寄的《投诉举报函》，于</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2024年4月10日出具案件受理</w:t>
      </w:r>
      <w:r>
        <w:rPr>
          <w:rFonts w:hint="eastAsia" w:ascii="华文仿宋" w:hAnsi="华文仿宋" w:eastAsia="华文仿宋" w:cs="华文仿宋"/>
          <w:strike w:val="0"/>
          <w:dstrike w:val="0"/>
          <w:color w:val="000000" w:themeColor="text1"/>
          <w:sz w:val="32"/>
          <w:szCs w:val="32"/>
          <w:highlight w:val="none"/>
          <w:lang w:val="en-US" w:eastAsia="zh-CN"/>
          <w14:textFill>
            <w14:solidFill>
              <w14:schemeClr w14:val="tx1"/>
            </w14:solidFill>
          </w14:textFill>
        </w:rPr>
        <w:t>告知函，</w:t>
      </w:r>
      <w:r>
        <w:rPr>
          <w:rFonts w:hint="eastAsia" w:ascii="华文仿宋" w:hAnsi="华文仿宋" w:eastAsia="华文仿宋" w:cs="华文仿宋"/>
          <w:kern w:val="2"/>
          <w:sz w:val="32"/>
          <w:szCs w:val="32"/>
          <w:highlight w:val="none"/>
          <w:lang w:val="en-US" w:eastAsia="zh-CN" w:bidi="ar-SA"/>
        </w:rPr>
        <w:t>但是结合相关证据无法认定被申请人送达案件受理告知函及受理后对投诉举报事项作出处理的事实，</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根据《中华人民共和国行政复议法》第六十六条之规定，本机关决定如下: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责令被申请人在法定期限内对申请人的投诉举报事项作出处理。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9月10</w:t>
      </w:r>
      <w:r>
        <w:rPr>
          <w:rFonts w:hint="eastAsia" w:ascii="华文仿宋" w:hAnsi="华文仿宋" w:eastAsia="华文仿宋" w:cs="华文仿宋"/>
          <w:sz w:val="32"/>
          <w:szCs w:val="32"/>
        </w:rPr>
        <w:t xml:space="preserve">日　　　　　　　 </w:t>
      </w:r>
    </w:p>
    <w:p>
      <w:pPr>
        <w:pStyle w:val="2"/>
        <w:ind w:left="0" w:leftChars="0" w:firstLine="0" w:firstLineChars="0"/>
        <w:rPr>
          <w:rFonts w:hint="eastAsia" w:ascii="仿宋" w:hAnsi="仿宋" w:eastAsia="仿宋" w:cs="仿宋"/>
          <w:sz w:val="32"/>
          <w:szCs w:val="36"/>
        </w:rPr>
      </w:pPr>
    </w:p>
    <w:p>
      <w:pPr>
        <w:pStyle w:val="2"/>
        <w:ind w:left="0" w:leftChars="0" w:firstLine="0" w:firstLineChars="0"/>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5A06BC"/>
    <w:rsid w:val="040F3C35"/>
    <w:rsid w:val="042601F7"/>
    <w:rsid w:val="048017C8"/>
    <w:rsid w:val="04E25B7C"/>
    <w:rsid w:val="0539563E"/>
    <w:rsid w:val="05750B9E"/>
    <w:rsid w:val="06B93983"/>
    <w:rsid w:val="06FD0DFE"/>
    <w:rsid w:val="06FF6D8A"/>
    <w:rsid w:val="07414F74"/>
    <w:rsid w:val="07DF16BB"/>
    <w:rsid w:val="08304C8A"/>
    <w:rsid w:val="088A7403"/>
    <w:rsid w:val="08E65ADD"/>
    <w:rsid w:val="090A1252"/>
    <w:rsid w:val="092A667A"/>
    <w:rsid w:val="09412D13"/>
    <w:rsid w:val="09F51698"/>
    <w:rsid w:val="0A2368BD"/>
    <w:rsid w:val="0A261F09"/>
    <w:rsid w:val="0A6B6BCC"/>
    <w:rsid w:val="0B392677"/>
    <w:rsid w:val="0BBC2B25"/>
    <w:rsid w:val="0BD77BC0"/>
    <w:rsid w:val="0C57284E"/>
    <w:rsid w:val="0DA36443"/>
    <w:rsid w:val="0DE277B4"/>
    <w:rsid w:val="0E4A44D4"/>
    <w:rsid w:val="0FF629F0"/>
    <w:rsid w:val="0FFA3C1C"/>
    <w:rsid w:val="103B1BD3"/>
    <w:rsid w:val="10574C75"/>
    <w:rsid w:val="10640B3D"/>
    <w:rsid w:val="108F2163"/>
    <w:rsid w:val="109206B0"/>
    <w:rsid w:val="113743A6"/>
    <w:rsid w:val="12831C96"/>
    <w:rsid w:val="140E7C96"/>
    <w:rsid w:val="1462329E"/>
    <w:rsid w:val="14D20981"/>
    <w:rsid w:val="150A3BCD"/>
    <w:rsid w:val="16CE7D9B"/>
    <w:rsid w:val="16D03B97"/>
    <w:rsid w:val="16EF5383"/>
    <w:rsid w:val="1724189B"/>
    <w:rsid w:val="17447666"/>
    <w:rsid w:val="1776580A"/>
    <w:rsid w:val="17EB6C6C"/>
    <w:rsid w:val="187F6144"/>
    <w:rsid w:val="18A8690B"/>
    <w:rsid w:val="18ED3189"/>
    <w:rsid w:val="19BA5516"/>
    <w:rsid w:val="19DD25E4"/>
    <w:rsid w:val="1A205B94"/>
    <w:rsid w:val="1A54747D"/>
    <w:rsid w:val="1AA039B5"/>
    <w:rsid w:val="1AEB5A33"/>
    <w:rsid w:val="1B7D688C"/>
    <w:rsid w:val="1C0F3B7F"/>
    <w:rsid w:val="1CBD5A68"/>
    <w:rsid w:val="1D32006F"/>
    <w:rsid w:val="1ECB76C6"/>
    <w:rsid w:val="1EE937D9"/>
    <w:rsid w:val="1FED5A85"/>
    <w:rsid w:val="206C6D98"/>
    <w:rsid w:val="216E446A"/>
    <w:rsid w:val="23B23011"/>
    <w:rsid w:val="23CD5478"/>
    <w:rsid w:val="23E9009E"/>
    <w:rsid w:val="24A24F3D"/>
    <w:rsid w:val="258F4F9F"/>
    <w:rsid w:val="25EF1881"/>
    <w:rsid w:val="281E73C5"/>
    <w:rsid w:val="28CD5F1A"/>
    <w:rsid w:val="2A2342F0"/>
    <w:rsid w:val="2A7A71F1"/>
    <w:rsid w:val="2AF07C9E"/>
    <w:rsid w:val="2CE12B6C"/>
    <w:rsid w:val="2CED2311"/>
    <w:rsid w:val="2D3415BE"/>
    <w:rsid w:val="2DA7343A"/>
    <w:rsid w:val="2DAC25A2"/>
    <w:rsid w:val="2E01545A"/>
    <w:rsid w:val="2E921B07"/>
    <w:rsid w:val="2F1D5639"/>
    <w:rsid w:val="300C57D0"/>
    <w:rsid w:val="30536487"/>
    <w:rsid w:val="311566B0"/>
    <w:rsid w:val="31383202"/>
    <w:rsid w:val="313A5EF2"/>
    <w:rsid w:val="316231F4"/>
    <w:rsid w:val="31C47204"/>
    <w:rsid w:val="3246516F"/>
    <w:rsid w:val="3344502A"/>
    <w:rsid w:val="33AD7074"/>
    <w:rsid w:val="346F4603"/>
    <w:rsid w:val="34FB55E7"/>
    <w:rsid w:val="357C0D85"/>
    <w:rsid w:val="36857E34"/>
    <w:rsid w:val="374E46CA"/>
    <w:rsid w:val="37B52474"/>
    <w:rsid w:val="37D921E5"/>
    <w:rsid w:val="391159AF"/>
    <w:rsid w:val="39471325"/>
    <w:rsid w:val="39974106"/>
    <w:rsid w:val="39C26CA9"/>
    <w:rsid w:val="39FB06B6"/>
    <w:rsid w:val="3A7206CF"/>
    <w:rsid w:val="3AB57AB6"/>
    <w:rsid w:val="3AC400D8"/>
    <w:rsid w:val="3B4D1F0F"/>
    <w:rsid w:val="3B66775F"/>
    <w:rsid w:val="3B886F3E"/>
    <w:rsid w:val="3BDA77E8"/>
    <w:rsid w:val="3C50187A"/>
    <w:rsid w:val="3CB530C4"/>
    <w:rsid w:val="3D8A1DCB"/>
    <w:rsid w:val="3EB15EEC"/>
    <w:rsid w:val="3EB21320"/>
    <w:rsid w:val="3F207B65"/>
    <w:rsid w:val="3F9335C1"/>
    <w:rsid w:val="3FF87DF8"/>
    <w:rsid w:val="4029195A"/>
    <w:rsid w:val="404761A1"/>
    <w:rsid w:val="404D1181"/>
    <w:rsid w:val="40DF7FCE"/>
    <w:rsid w:val="41B657FE"/>
    <w:rsid w:val="41DA7286"/>
    <w:rsid w:val="42206309"/>
    <w:rsid w:val="425846F9"/>
    <w:rsid w:val="42B01819"/>
    <w:rsid w:val="435F46D6"/>
    <w:rsid w:val="437F6B26"/>
    <w:rsid w:val="443E75BD"/>
    <w:rsid w:val="44DB4CA9"/>
    <w:rsid w:val="469A5235"/>
    <w:rsid w:val="46F56910"/>
    <w:rsid w:val="472E3BD0"/>
    <w:rsid w:val="4734642D"/>
    <w:rsid w:val="478B7993"/>
    <w:rsid w:val="47ED75E7"/>
    <w:rsid w:val="495959F3"/>
    <w:rsid w:val="49C906DD"/>
    <w:rsid w:val="4A3563A4"/>
    <w:rsid w:val="4A490B5D"/>
    <w:rsid w:val="4A657908"/>
    <w:rsid w:val="4B17381D"/>
    <w:rsid w:val="4B1C1B06"/>
    <w:rsid w:val="4BC161F0"/>
    <w:rsid w:val="4C877D9A"/>
    <w:rsid w:val="4F245FE4"/>
    <w:rsid w:val="4FDD1670"/>
    <w:rsid w:val="504B2DEF"/>
    <w:rsid w:val="50D94BAC"/>
    <w:rsid w:val="51AB6549"/>
    <w:rsid w:val="527978FA"/>
    <w:rsid w:val="532F59AA"/>
    <w:rsid w:val="536D5076"/>
    <w:rsid w:val="537D36C3"/>
    <w:rsid w:val="538F145B"/>
    <w:rsid w:val="548771E6"/>
    <w:rsid w:val="54F478D1"/>
    <w:rsid w:val="56A80B82"/>
    <w:rsid w:val="57415259"/>
    <w:rsid w:val="58190916"/>
    <w:rsid w:val="59AA13D6"/>
    <w:rsid w:val="59AE793C"/>
    <w:rsid w:val="5A8A01F8"/>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7AE53C6"/>
    <w:rsid w:val="6841155D"/>
    <w:rsid w:val="684969A7"/>
    <w:rsid w:val="68751ABF"/>
    <w:rsid w:val="68EC771B"/>
    <w:rsid w:val="690416A7"/>
    <w:rsid w:val="6922313D"/>
    <w:rsid w:val="694D7E6C"/>
    <w:rsid w:val="69572A79"/>
    <w:rsid w:val="69607C5F"/>
    <w:rsid w:val="697123F4"/>
    <w:rsid w:val="6A835E5D"/>
    <w:rsid w:val="6A9D61FF"/>
    <w:rsid w:val="6B3E1136"/>
    <w:rsid w:val="6B9F6CC6"/>
    <w:rsid w:val="6BEC5C84"/>
    <w:rsid w:val="6C627CF4"/>
    <w:rsid w:val="6C6F7E32"/>
    <w:rsid w:val="6C8222B5"/>
    <w:rsid w:val="6D510DE8"/>
    <w:rsid w:val="6D7B106D"/>
    <w:rsid w:val="6D805164"/>
    <w:rsid w:val="6EA53115"/>
    <w:rsid w:val="6F485C4A"/>
    <w:rsid w:val="6F673C01"/>
    <w:rsid w:val="6F752245"/>
    <w:rsid w:val="6FB2689C"/>
    <w:rsid w:val="6FDA3BC5"/>
    <w:rsid w:val="70012708"/>
    <w:rsid w:val="70912956"/>
    <w:rsid w:val="70B3484B"/>
    <w:rsid w:val="71066EA0"/>
    <w:rsid w:val="71796FF8"/>
    <w:rsid w:val="720D6C69"/>
    <w:rsid w:val="72844B91"/>
    <w:rsid w:val="735465E8"/>
    <w:rsid w:val="73C113BC"/>
    <w:rsid w:val="746C1710"/>
    <w:rsid w:val="74A34027"/>
    <w:rsid w:val="7535244A"/>
    <w:rsid w:val="75811B3B"/>
    <w:rsid w:val="75B914ED"/>
    <w:rsid w:val="75E9159E"/>
    <w:rsid w:val="75EC1E64"/>
    <w:rsid w:val="761503F8"/>
    <w:rsid w:val="76E351D9"/>
    <w:rsid w:val="76F31C74"/>
    <w:rsid w:val="77861302"/>
    <w:rsid w:val="77A26F39"/>
    <w:rsid w:val="77C24C88"/>
    <w:rsid w:val="77DD05DA"/>
    <w:rsid w:val="77E61994"/>
    <w:rsid w:val="783C4E62"/>
    <w:rsid w:val="786B613C"/>
    <w:rsid w:val="78871D3C"/>
    <w:rsid w:val="794964C4"/>
    <w:rsid w:val="794F7EC8"/>
    <w:rsid w:val="79690914"/>
    <w:rsid w:val="79836C04"/>
    <w:rsid w:val="79DF7B61"/>
    <w:rsid w:val="7A215B90"/>
    <w:rsid w:val="7AAF05A8"/>
    <w:rsid w:val="7B62386D"/>
    <w:rsid w:val="7C1012DF"/>
    <w:rsid w:val="7C230164"/>
    <w:rsid w:val="7C3C3E89"/>
    <w:rsid w:val="7C6F7133"/>
    <w:rsid w:val="7CC01F00"/>
    <w:rsid w:val="7CFB2E80"/>
    <w:rsid w:val="7DCC5495"/>
    <w:rsid w:val="7E82082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customStyle="1" w:styleId="9">
    <w:name w:val="rgroup"/>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1241</Words>
  <Characters>1285</Characters>
  <Lines>27</Lines>
  <Paragraphs>7</Paragraphs>
  <TotalTime>13</TotalTime>
  <ScaleCrop>false</ScaleCrop>
  <LinksUpToDate>false</LinksUpToDate>
  <CharactersWithSpaces>1323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2024-09-10T10:49:00Z</cp:lastPrinted>
  <dcterms:modified xsi:type="dcterms:W3CDTF">2024-11-07T01:45:29Z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