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4D7F9">
      <w:pPr>
        <w:spacing w:line="640" w:lineRule="exact"/>
        <w:jc w:val="center"/>
        <w:rPr>
          <w:rFonts w:hint="eastAsia"/>
          <w:b/>
          <w:bCs/>
          <w:sz w:val="56"/>
          <w:szCs w:val="52"/>
        </w:rPr>
      </w:pPr>
      <w:r>
        <w:rPr>
          <w:rFonts w:hint="eastAsia"/>
          <w:b/>
          <w:bCs/>
          <w:sz w:val="56"/>
          <w:szCs w:val="52"/>
        </w:rPr>
        <w:t>洛阳市瀍河回族区人民政府</w:t>
      </w:r>
    </w:p>
    <w:p w14:paraId="249B8180">
      <w:pPr>
        <w:spacing w:line="540" w:lineRule="exact"/>
        <w:ind w:firstLine="2610" w:firstLineChars="500"/>
        <w:jc w:val="center"/>
        <w:rPr>
          <w:rFonts w:hint="eastAsia"/>
          <w:b/>
          <w:bCs/>
          <w:sz w:val="52"/>
          <w:szCs w:val="56"/>
        </w:rPr>
      </w:pPr>
    </w:p>
    <w:p w14:paraId="170E2124">
      <w:pPr>
        <w:spacing w:line="540" w:lineRule="exact"/>
        <w:jc w:val="center"/>
        <w:rPr>
          <w:rFonts w:hint="eastAsia"/>
          <w:b/>
          <w:bCs/>
          <w:sz w:val="52"/>
          <w:szCs w:val="56"/>
        </w:rPr>
      </w:pPr>
      <w:r>
        <w:rPr>
          <w:rFonts w:hint="eastAsia"/>
          <w:b/>
          <w:bCs/>
          <w:sz w:val="52"/>
          <w:szCs w:val="56"/>
        </w:rPr>
        <w:t>行政复议决定书</w:t>
      </w:r>
    </w:p>
    <w:p w14:paraId="16C6E553">
      <w:pPr>
        <w:spacing w:line="540" w:lineRule="exact"/>
        <w:ind w:firstLine="2409" w:firstLineChars="500"/>
        <w:rPr>
          <w:rFonts w:hint="eastAsia"/>
          <w:b/>
          <w:bCs/>
          <w:sz w:val="48"/>
          <w:szCs w:val="56"/>
        </w:rPr>
      </w:pPr>
    </w:p>
    <w:p w14:paraId="4622E0B6">
      <w:pPr>
        <w:keepNext w:val="0"/>
        <w:keepLines w:val="0"/>
        <w:pageBreakBefore w:val="0"/>
        <w:widowControl w:val="0"/>
        <w:kinsoku/>
        <w:overflowPunct/>
        <w:topLinePunct w:val="0"/>
        <w:autoSpaceDE/>
        <w:autoSpaceDN/>
        <w:bidi w:val="0"/>
        <w:adjustRightInd/>
        <w:snapToGrid/>
        <w:spacing w:line="600" w:lineRule="exact"/>
        <w:ind w:firstLine="560" w:firstLineChars="2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32"/>
          <w:szCs w:val="32"/>
        </w:rPr>
        <w:t xml:space="preserve"> </w:t>
      </w:r>
      <w:r>
        <w:rPr>
          <w:rFonts w:hint="eastAsia" w:ascii="仿宋" w:hAnsi="仿宋" w:eastAsia="仿宋" w:cs="仿宋"/>
          <w:sz w:val="32"/>
          <w:szCs w:val="32"/>
        </w:rPr>
        <w:t xml:space="preserve">  </w:t>
      </w:r>
    </w:p>
    <w:p w14:paraId="651C99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陶某</w:t>
      </w:r>
    </w:p>
    <w:p w14:paraId="6F55D4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14:paraId="28DD27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不服被申请人</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瀍河回族区市场监督管理局未在法定期限内对其举报河南某药业有限公司作出处理，</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14:paraId="2A28FA9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依法确认被申请人未在法定期限内处理申请人举报事项违法。</w:t>
      </w:r>
    </w:p>
    <w:p w14:paraId="5CB867CC">
      <w:pPr>
        <w:keepNext w:val="0"/>
        <w:keepLines w:val="0"/>
        <w:pageBreakBefore w:val="0"/>
        <w:widowControl w:val="0"/>
        <w:kinsoku/>
        <w:overflowPunct/>
        <w:topLinePunct w:val="0"/>
        <w:autoSpaceDE/>
        <w:autoSpaceDN/>
        <w:bidi w:val="0"/>
        <w:adjustRightInd/>
        <w:snapToGrid/>
        <w:spacing w:line="600" w:lineRule="exact"/>
        <w:ind w:firstLine="643" w:firstLineChars="200"/>
        <w:jc w:val="left"/>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于7月23日通过书面邮寄的方式向被申请人实名投诉举报“河南某药业有限公司”在拼多多售卖药品发布未经审查的药品广告及虚假夸大药品功效，违反相关规定的问题。内容如下:本人2024年7月18日在拼多多（某店铺）购买了甲硝唑口腔粘贴片拼多多先用后付18.82元，该店铺存在发布未经审查的药品广告以及虚假夸大药品功效的问题。店铺网页宣称“药效翻倍、灭99种牙松、保治、进口一粒立见效、直击根源药效一绝、治咳嗽一绝、进口灭杀咳嗽病，来一位治一位等”与药品说明书不符且故意夸大药品功效误导消费者，需要说明的是该店铺药品广告均存在以上问题（已部分截图）。该行为违反了《药品、医疗器械、保健食品、特殊医学用途配方食品广告审查管理暂行办法》《中华人民共和国反不正当竞争法》《中华人民共和国广告法》《中华人民共和国消费者权益保护法》的相关规定。本投诉举报请求赔偿、查处、奖励并书面回复。</w:t>
      </w:r>
    </w:p>
    <w:p w14:paraId="28A86112">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该举报被申请人未在法定期限处理申请人提出的举报事项其程序违法。根据《市场监督管理行政处罚程序规定》第十八条第一款兜底条款，法律、法规、规章另有规定的除外。本案针对《中华人民共和国广告法》部分，对办案期限另有规定从其规定，所以本案应当适用《中华人民共和国</w:t>
      </w:r>
      <w:bookmarkStart w:id="0" w:name="_GoBack"/>
      <w:bookmarkEnd w:id="0"/>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广告法》五十三条的规定。该法第五十三条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本案中，据物流轨迹显示被申请人于2024</w:t>
      </w:r>
    </w:p>
    <w:p w14:paraId="5531DAFE">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年7月25日收到申请人的举报，但未在7个工作日内对申请人的举报事项予以处理并告知申请人，违反了《中华人民共和国广告法》第五十三条第一款的规定，系程序违法。</w:t>
      </w:r>
    </w:p>
    <w:p w14:paraId="4E228E0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综上请求复议机关本着合法、公正、公开、及时、便民的原则。支持全部复议请求。</w:t>
      </w:r>
    </w:p>
    <w:p w14:paraId="3DEC7E3A">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3" w:firstLineChars="200"/>
        <w:jc w:val="left"/>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被申请人辩称：</w:t>
      </w:r>
      <w:r>
        <w:rPr>
          <w:rFonts w:hint="eastAsia" w:ascii="华文仿宋" w:hAnsi="华文仿宋" w:eastAsia="华文仿宋" w:cs="华文仿宋"/>
          <w:b w:val="0"/>
          <w:bCs w:val="0"/>
          <w:sz w:val="32"/>
          <w:szCs w:val="32"/>
        </w:rPr>
        <w:t>2024年</w:t>
      </w:r>
      <w:r>
        <w:rPr>
          <w:rFonts w:hint="eastAsia" w:ascii="华文仿宋" w:hAnsi="华文仿宋" w:eastAsia="华文仿宋" w:cs="华文仿宋"/>
          <w:b w:val="0"/>
          <w:bCs w:val="0"/>
          <w:sz w:val="32"/>
          <w:szCs w:val="32"/>
          <w:lang w:val="en-US" w:eastAsia="zh-CN"/>
        </w:rPr>
        <w:t>7</w:t>
      </w:r>
      <w:r>
        <w:rPr>
          <w:rFonts w:hint="eastAsia" w:ascii="华文仿宋" w:hAnsi="华文仿宋" w:eastAsia="华文仿宋" w:cs="华文仿宋"/>
          <w:b w:val="0"/>
          <w:bCs w:val="0"/>
          <w:sz w:val="32"/>
          <w:szCs w:val="32"/>
        </w:rPr>
        <w:t>月</w:t>
      </w:r>
      <w:r>
        <w:rPr>
          <w:rFonts w:hint="eastAsia" w:ascii="华文仿宋" w:hAnsi="华文仿宋" w:eastAsia="华文仿宋" w:cs="华文仿宋"/>
          <w:b w:val="0"/>
          <w:bCs w:val="0"/>
          <w:sz w:val="32"/>
          <w:szCs w:val="32"/>
          <w:lang w:val="en-US" w:eastAsia="zh-CN"/>
        </w:rPr>
        <w:t>26</w:t>
      </w:r>
      <w:r>
        <w:rPr>
          <w:rFonts w:hint="eastAsia" w:ascii="华文仿宋" w:hAnsi="华文仿宋" w:eastAsia="华文仿宋" w:cs="华文仿宋"/>
          <w:b w:val="0"/>
          <w:bCs w:val="0"/>
          <w:sz w:val="32"/>
          <w:szCs w:val="32"/>
        </w:rPr>
        <w:t>日，被申请人收到申请人</w:t>
      </w:r>
      <w:r>
        <w:rPr>
          <w:rFonts w:hint="eastAsia" w:ascii="华文仿宋" w:hAnsi="华文仿宋" w:eastAsia="华文仿宋" w:cs="华文仿宋"/>
          <w:b w:val="0"/>
          <w:bCs w:val="0"/>
          <w:sz w:val="32"/>
          <w:szCs w:val="32"/>
          <w:lang w:eastAsia="zh-CN"/>
        </w:rPr>
        <w:t>书面投诉举报</w:t>
      </w:r>
      <w:r>
        <w:rPr>
          <w:rFonts w:hint="eastAsia" w:ascii="华文仿宋" w:hAnsi="华文仿宋" w:eastAsia="华文仿宋" w:cs="华文仿宋"/>
          <w:b w:val="0"/>
          <w:bCs w:val="0"/>
          <w:sz w:val="32"/>
          <w:szCs w:val="32"/>
        </w:rPr>
        <w:t>，称</w:t>
      </w:r>
      <w:r>
        <w:rPr>
          <w:rFonts w:hint="eastAsia" w:ascii="华文仿宋" w:hAnsi="华文仿宋" w:eastAsia="华文仿宋" w:cs="华文仿宋"/>
          <w:sz w:val="32"/>
          <w:szCs w:val="32"/>
          <w:u w:val="none"/>
          <w:lang w:eastAsia="zh-CN"/>
        </w:rPr>
        <w:t>河南某药业有限公司</w:t>
      </w:r>
      <w:r>
        <w:rPr>
          <w:rFonts w:hint="eastAsia" w:ascii="华文仿宋" w:hAnsi="华文仿宋" w:eastAsia="华文仿宋" w:cs="华文仿宋"/>
          <w:b w:val="0"/>
          <w:bCs w:val="0"/>
          <w:sz w:val="32"/>
          <w:szCs w:val="32"/>
        </w:rPr>
        <w:t>（以下简称“被投诉举报人”）</w:t>
      </w:r>
      <w:r>
        <w:rPr>
          <w:rFonts w:hint="eastAsia" w:ascii="华文仿宋" w:hAnsi="华文仿宋" w:eastAsia="华文仿宋" w:cs="华文仿宋"/>
          <w:b w:val="0"/>
          <w:bCs w:val="0"/>
          <w:sz w:val="32"/>
          <w:szCs w:val="32"/>
          <w:lang w:eastAsia="zh-CN"/>
        </w:rPr>
        <w:t>涉嫌发布未经审查的药品广告和虚假广告，请求依法查处、赔偿并给予奖励。</w:t>
      </w:r>
    </w:p>
    <w:p w14:paraId="6D33BEEE">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z w:val="32"/>
          <w:szCs w:val="32"/>
          <w:lang w:val="en-US" w:eastAsia="zh-CN"/>
        </w:rPr>
        <w:t>对投诉事项，经审查符合受理条件，被申请人予以受理，因被投诉举报人明确表示拒绝调解，被申请人作出终止调解决定。对举报事项，经延期核查，鉴于</w:t>
      </w:r>
      <w:r>
        <w:rPr>
          <w:rFonts w:hint="eastAsia" w:ascii="华文仿宋" w:hAnsi="华文仿宋" w:eastAsia="华文仿宋" w:cs="华文仿宋"/>
          <w:b w:val="0"/>
          <w:bCs w:val="0"/>
          <w:sz w:val="32"/>
          <w:szCs w:val="32"/>
        </w:rPr>
        <w:t>被投诉举报人</w:t>
      </w:r>
      <w:r>
        <w:rPr>
          <w:rFonts w:hint="eastAsia" w:ascii="华文仿宋" w:hAnsi="华文仿宋" w:eastAsia="华文仿宋" w:cs="华文仿宋"/>
          <w:b w:val="0"/>
          <w:bCs w:val="0"/>
          <w:sz w:val="32"/>
          <w:szCs w:val="32"/>
          <w:lang w:val="en-US" w:eastAsia="zh-CN"/>
        </w:rPr>
        <w:t>违法行为轻微并及时改正，没有造成危害后果，被申请人作出不予立案决定，并于8月30日将终止调解决定和不予立案决定</w:t>
      </w:r>
      <w:r>
        <w:rPr>
          <w:rFonts w:hint="eastAsia" w:ascii="华文仿宋" w:hAnsi="华文仿宋" w:eastAsia="华文仿宋" w:cs="华文仿宋"/>
          <w:sz w:val="32"/>
          <w:szCs w:val="32"/>
          <w:lang w:val="en-US" w:eastAsia="zh-CN"/>
        </w:rPr>
        <w:t>通过短信一并告知申请人。</w:t>
      </w:r>
    </w:p>
    <w:p w14:paraId="0B4655D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一、针对被申请人就其投诉事项作出终止调解决定的答辩意见。</w:t>
      </w:r>
      <w:r>
        <w:rPr>
          <w:rFonts w:hint="eastAsia" w:ascii="华文仿宋" w:hAnsi="华文仿宋" w:eastAsia="华文仿宋" w:cs="华文仿宋"/>
          <w:sz w:val="32"/>
          <w:szCs w:val="32"/>
        </w:rPr>
        <w:t>2024年</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26</w:t>
      </w:r>
      <w:r>
        <w:rPr>
          <w:rFonts w:hint="eastAsia" w:ascii="华文仿宋" w:hAnsi="华文仿宋" w:eastAsia="华文仿宋" w:cs="华文仿宋"/>
          <w:sz w:val="32"/>
          <w:szCs w:val="32"/>
        </w:rPr>
        <w:t>日接申请人投诉，称被投诉举报人</w:t>
      </w:r>
      <w:r>
        <w:rPr>
          <w:rFonts w:hint="eastAsia" w:ascii="华文仿宋" w:hAnsi="华文仿宋" w:eastAsia="华文仿宋" w:cs="华文仿宋"/>
          <w:sz w:val="32"/>
          <w:szCs w:val="32"/>
          <w:lang w:eastAsia="zh-CN"/>
        </w:rPr>
        <w:t>在销售非处方药甲硝唑口腔粘贴片</w:t>
      </w:r>
      <w:r>
        <w:rPr>
          <w:rFonts w:hint="eastAsia" w:ascii="华文仿宋" w:hAnsi="华文仿宋" w:eastAsia="华文仿宋" w:cs="华文仿宋"/>
          <w:b w:val="0"/>
          <w:bCs w:val="0"/>
          <w:sz w:val="32"/>
          <w:szCs w:val="32"/>
          <w:lang w:eastAsia="zh-CN"/>
        </w:rPr>
        <w:t>时涉嫌发布未经审查的药品广告和虚假广告</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eastAsia="zh-CN"/>
        </w:rPr>
        <w:t>请求依法查处、赔偿并给予奖励。</w:t>
      </w:r>
      <w:r>
        <w:rPr>
          <w:rFonts w:hint="eastAsia" w:ascii="华文仿宋" w:hAnsi="华文仿宋" w:eastAsia="华文仿宋" w:cs="华文仿宋"/>
          <w:b w:val="0"/>
          <w:bCs w:val="0"/>
          <w:sz w:val="32"/>
          <w:szCs w:val="32"/>
          <w:lang w:val="en-US" w:eastAsia="zh-CN"/>
        </w:rPr>
        <w:t>经审查符合受理条件，被申请人于8月1日予以受理并短信告知申请人。</w:t>
      </w:r>
      <w:r>
        <w:rPr>
          <w:rFonts w:hint="eastAsia" w:ascii="华文仿宋" w:hAnsi="华文仿宋" w:eastAsia="华文仿宋" w:cs="华文仿宋"/>
          <w:b w:val="0"/>
          <w:bCs w:val="0"/>
          <w:sz w:val="32"/>
          <w:szCs w:val="32"/>
          <w:lang w:eastAsia="zh-CN"/>
        </w:rPr>
        <w:t>因</w:t>
      </w:r>
      <w:r>
        <w:rPr>
          <w:rFonts w:hint="eastAsia" w:ascii="华文仿宋" w:hAnsi="华文仿宋" w:eastAsia="华文仿宋" w:cs="华文仿宋"/>
          <w:sz w:val="32"/>
          <w:szCs w:val="32"/>
        </w:rPr>
        <w:t>被投诉举报人</w:t>
      </w:r>
      <w:r>
        <w:rPr>
          <w:rFonts w:hint="eastAsia" w:ascii="华文仿宋" w:hAnsi="华文仿宋" w:eastAsia="华文仿宋" w:cs="华文仿宋"/>
          <w:sz w:val="32"/>
          <w:szCs w:val="32"/>
          <w:lang w:eastAsia="zh-CN"/>
        </w:rPr>
        <w:t>明</w:t>
      </w:r>
      <w:r>
        <w:rPr>
          <w:rFonts w:hint="eastAsia" w:ascii="华文仿宋" w:hAnsi="华文仿宋" w:eastAsia="华文仿宋" w:cs="华文仿宋"/>
          <w:sz w:val="32"/>
          <w:szCs w:val="32"/>
        </w:rPr>
        <w:t>确表示</w:t>
      </w:r>
      <w:r>
        <w:rPr>
          <w:rFonts w:hint="eastAsia" w:ascii="华文仿宋" w:hAnsi="华文仿宋" w:eastAsia="华文仿宋" w:cs="华文仿宋"/>
          <w:sz w:val="32"/>
          <w:szCs w:val="32"/>
          <w:lang w:eastAsia="zh-CN"/>
        </w:rPr>
        <w:t>拒绝</w:t>
      </w:r>
      <w:r>
        <w:rPr>
          <w:rFonts w:hint="eastAsia" w:ascii="华文仿宋" w:hAnsi="华文仿宋" w:eastAsia="华文仿宋" w:cs="华文仿宋"/>
          <w:sz w:val="32"/>
          <w:szCs w:val="32"/>
        </w:rPr>
        <w:t>调解</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依据《市场监督管理投诉举报处理暂行办法》第二十一条第一款第（三）项的规定，被申请人</w:t>
      </w:r>
      <w:r>
        <w:rPr>
          <w:rFonts w:hint="eastAsia" w:ascii="华文仿宋" w:hAnsi="华文仿宋" w:eastAsia="华文仿宋" w:cs="华文仿宋"/>
          <w:sz w:val="32"/>
          <w:szCs w:val="32"/>
          <w:lang w:eastAsia="zh-CN"/>
        </w:rPr>
        <w:t>于</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日作出投诉终止调解决定，并依据该条第二款的规定告知申请人。</w:t>
      </w:r>
    </w:p>
    <w:p w14:paraId="104376F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二、针对被申请人就其举报事项作出不予立案决定的答辩意见。</w:t>
      </w:r>
      <w:r>
        <w:rPr>
          <w:rFonts w:hint="eastAsia" w:ascii="华文仿宋" w:hAnsi="华文仿宋" w:eastAsia="华文仿宋" w:cs="华文仿宋"/>
          <w:sz w:val="32"/>
          <w:szCs w:val="32"/>
          <w:lang w:eastAsia="zh-CN"/>
        </w:rPr>
        <w:t>经查，</w:t>
      </w:r>
      <w:r>
        <w:rPr>
          <w:rFonts w:hint="eastAsia" w:ascii="华文仿宋" w:hAnsi="华文仿宋" w:eastAsia="华文仿宋" w:cs="华文仿宋"/>
          <w:sz w:val="32"/>
          <w:szCs w:val="32"/>
          <w:lang w:val="en-US" w:eastAsia="zh-CN"/>
        </w:rPr>
        <w:t>被投诉举报人2024年6月在</w:t>
      </w:r>
      <w:r>
        <w:rPr>
          <w:rFonts w:hint="eastAsia" w:ascii="华文仿宋" w:hAnsi="华文仿宋" w:eastAsia="华文仿宋" w:cs="华文仿宋"/>
          <w:sz w:val="32"/>
          <w:szCs w:val="32"/>
          <w:lang w:eastAsia="zh-CN"/>
        </w:rPr>
        <w:t>拼多多网店</w:t>
      </w:r>
      <w:r>
        <w:rPr>
          <w:rFonts w:hint="eastAsia" w:ascii="华文仿宋" w:hAnsi="华文仿宋" w:eastAsia="华文仿宋" w:cs="华文仿宋"/>
          <w:sz w:val="32"/>
          <w:szCs w:val="32"/>
          <w:lang w:val="en-US" w:eastAsia="zh-CN"/>
        </w:rPr>
        <w:t>销售涉案药品时，在未经审查的情况下发布了含有“药效翻倍 ”、“灭99种牙松”</w:t>
      </w:r>
      <w:r>
        <w:rPr>
          <w:rFonts w:hint="eastAsia" w:ascii="华文仿宋" w:hAnsi="华文仿宋" w:eastAsia="华文仿宋" w:cs="华文仿宋"/>
          <w:sz w:val="32"/>
          <w:szCs w:val="32"/>
        </w:rPr>
        <w:t>等</w:t>
      </w:r>
      <w:r>
        <w:rPr>
          <w:rFonts w:hint="eastAsia" w:ascii="华文仿宋" w:hAnsi="华文仿宋" w:eastAsia="华文仿宋" w:cs="华文仿宋"/>
          <w:sz w:val="32"/>
          <w:szCs w:val="32"/>
          <w:lang w:eastAsia="zh-CN"/>
        </w:rPr>
        <w:t>虚假</w:t>
      </w:r>
      <w:r>
        <w:rPr>
          <w:rFonts w:hint="eastAsia" w:ascii="华文仿宋" w:hAnsi="华文仿宋" w:eastAsia="华文仿宋" w:cs="华文仿宋"/>
          <w:sz w:val="32"/>
          <w:szCs w:val="32"/>
        </w:rPr>
        <w:t>内容的广告</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被申请人认为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被投诉举报人未经审查发布</w:t>
      </w:r>
      <w:r>
        <w:rPr>
          <w:rFonts w:hint="eastAsia" w:ascii="华文仿宋" w:hAnsi="华文仿宋" w:eastAsia="华文仿宋" w:cs="华文仿宋"/>
          <w:sz w:val="32"/>
          <w:szCs w:val="32"/>
          <w:lang w:eastAsia="zh-CN"/>
        </w:rPr>
        <w:t>药品广告，违反了《中华人民共和国广告法》第四十六条的规定，且</w:t>
      </w:r>
      <w:r>
        <w:rPr>
          <w:rFonts w:hint="eastAsia" w:ascii="华文仿宋" w:hAnsi="华文仿宋" w:eastAsia="华文仿宋" w:cs="华文仿宋"/>
          <w:sz w:val="32"/>
          <w:szCs w:val="32"/>
          <w:lang w:val="en-US" w:eastAsia="zh-CN"/>
        </w:rPr>
        <w:t>“药效翻倍 ”、“灭99种牙松”</w:t>
      </w:r>
      <w:r>
        <w:rPr>
          <w:rFonts w:hint="eastAsia" w:ascii="华文仿宋" w:hAnsi="华文仿宋" w:eastAsia="华文仿宋" w:cs="华文仿宋"/>
          <w:sz w:val="32"/>
          <w:szCs w:val="32"/>
        </w:rPr>
        <w:t>等</w:t>
      </w:r>
      <w:r>
        <w:rPr>
          <w:rFonts w:hint="eastAsia" w:ascii="华文仿宋" w:hAnsi="华文仿宋" w:eastAsia="华文仿宋" w:cs="华文仿宋"/>
          <w:sz w:val="32"/>
          <w:szCs w:val="32"/>
          <w:lang w:eastAsia="zh-CN"/>
        </w:rPr>
        <w:t>广告</w:t>
      </w:r>
      <w:r>
        <w:rPr>
          <w:rFonts w:hint="eastAsia" w:ascii="华文仿宋" w:hAnsi="华文仿宋" w:eastAsia="华文仿宋" w:cs="华文仿宋"/>
          <w:sz w:val="32"/>
          <w:szCs w:val="32"/>
        </w:rPr>
        <w:t>内容</w:t>
      </w:r>
      <w:r>
        <w:rPr>
          <w:rFonts w:hint="eastAsia" w:ascii="华文仿宋" w:hAnsi="华文仿宋" w:eastAsia="华文仿宋" w:cs="华文仿宋"/>
          <w:sz w:val="32"/>
          <w:szCs w:val="32"/>
          <w:lang w:eastAsia="zh-CN"/>
        </w:rPr>
        <w:t>，无相关材料证明，属于《中华人民共和国广告法》第二十八条第二款第（三）项所指的虚假广告，违反了该法第四条第一款的规定。</w:t>
      </w:r>
    </w:p>
    <w:p w14:paraId="2318BAF0">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但</w:t>
      </w:r>
      <w:r>
        <w:rPr>
          <w:rFonts w:hint="eastAsia" w:ascii="华文仿宋" w:hAnsi="华文仿宋" w:eastAsia="华文仿宋" w:cs="华文仿宋"/>
          <w:sz w:val="32"/>
          <w:szCs w:val="32"/>
        </w:rPr>
        <w:t>在</w:t>
      </w:r>
      <w:r>
        <w:rPr>
          <w:rFonts w:hint="eastAsia" w:ascii="华文仿宋" w:hAnsi="华文仿宋" w:eastAsia="华文仿宋" w:cs="华文仿宋"/>
          <w:sz w:val="32"/>
          <w:szCs w:val="32"/>
          <w:lang w:eastAsia="zh-CN"/>
        </w:rPr>
        <w:t>核查期间</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被投诉举报人</w:t>
      </w:r>
      <w:r>
        <w:rPr>
          <w:rFonts w:hint="eastAsia" w:ascii="华文仿宋" w:hAnsi="华文仿宋" w:eastAsia="华文仿宋" w:cs="华文仿宋"/>
          <w:sz w:val="32"/>
          <w:szCs w:val="32"/>
        </w:rPr>
        <w:t>已于</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eastAsia="zh-CN"/>
        </w:rPr>
        <w:t>停止发布涉案广告，违法行为持续时间较短，参照《河南省市场监督管理行政处罚裁量权适用通则》第十二条第一款第（三）项和第（五）项及第二款的规定，认定</w:t>
      </w:r>
      <w:r>
        <w:rPr>
          <w:rFonts w:hint="eastAsia" w:ascii="华文仿宋" w:hAnsi="华文仿宋" w:eastAsia="华文仿宋" w:cs="华文仿宋"/>
          <w:sz w:val="32"/>
          <w:szCs w:val="32"/>
          <w:lang w:val="en-US" w:eastAsia="zh-CN"/>
        </w:rPr>
        <w:t>被投诉举报人违法情节轻微，并及时改正，没有造成危害后果，依据《市场监督管理行政处罚程序规定》第二十条第一款第（一）项的规定，被申请人于8月28日作出不予立案的决定，并依据《市场监督管理投诉举报处理暂行办法》第三十一条第二款的规定，8月30日</w:t>
      </w:r>
      <w:r>
        <w:rPr>
          <w:rFonts w:hint="eastAsia" w:ascii="华文仿宋" w:hAnsi="华文仿宋" w:eastAsia="华文仿宋" w:cs="华文仿宋"/>
          <w:b w:val="0"/>
          <w:bCs w:val="0"/>
          <w:sz w:val="32"/>
          <w:szCs w:val="32"/>
          <w:lang w:val="en-US" w:eastAsia="zh-CN"/>
        </w:rPr>
        <w:t>将不予立案决定</w:t>
      </w:r>
      <w:r>
        <w:rPr>
          <w:rFonts w:hint="eastAsia" w:ascii="华文仿宋" w:hAnsi="华文仿宋" w:eastAsia="华文仿宋" w:cs="华文仿宋"/>
          <w:sz w:val="32"/>
          <w:szCs w:val="32"/>
          <w:lang w:val="en-US" w:eastAsia="zh-CN"/>
        </w:rPr>
        <w:t>通过短信告知申请人。</w:t>
      </w:r>
    </w:p>
    <w:p w14:paraId="6823688C">
      <w:pPr>
        <w:ind w:firstLine="640" w:firstLineChars="200"/>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sz w:val="32"/>
          <w:szCs w:val="32"/>
        </w:rPr>
        <w:t>综上，针对申请人的投诉举报事项，被申请人处理过程程序合法，并无不当，其复议请求没有事实和法律依据，恳请依法驳回申请人的复议请求。</w:t>
      </w:r>
    </w:p>
    <w:p w14:paraId="5DCD628C">
      <w:pPr>
        <w:keepNext w:val="0"/>
        <w:keepLines w:val="0"/>
        <w:pageBreakBefore w:val="0"/>
        <w:widowControl w:val="0"/>
        <w:kinsoku/>
        <w:wordWrap w:val="0"/>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2024年7月18日，申请人在拼多多某店铺</w:t>
      </w:r>
      <w:r>
        <w:rPr>
          <w:rFonts w:hint="eastAsia" w:ascii="华文仿宋" w:hAnsi="华文仿宋" w:eastAsia="华文仿宋" w:cs="华文仿宋"/>
          <w:sz w:val="32"/>
          <w:szCs w:val="32"/>
        </w:rPr>
        <w:t>（以下简称</w:t>
      </w:r>
      <w:r>
        <w:rPr>
          <w:rFonts w:hint="eastAsia" w:ascii="华文仿宋" w:hAnsi="华文仿宋" w:eastAsia="华文仿宋" w:cs="华文仿宋"/>
          <w:sz w:val="32"/>
          <w:szCs w:val="32"/>
          <w:lang w:eastAsia="zh-CN"/>
        </w:rPr>
        <w:t>“被</w:t>
      </w:r>
      <w:r>
        <w:rPr>
          <w:rFonts w:hint="eastAsia" w:ascii="华文仿宋" w:hAnsi="华文仿宋" w:eastAsia="华文仿宋" w:cs="华文仿宋"/>
          <w:sz w:val="32"/>
          <w:szCs w:val="32"/>
          <w:lang w:val="en-US" w:eastAsia="zh-CN"/>
        </w:rPr>
        <w:t>投诉</w:t>
      </w:r>
      <w:r>
        <w:rPr>
          <w:rFonts w:hint="eastAsia" w:ascii="华文仿宋" w:hAnsi="华文仿宋" w:eastAsia="华文仿宋" w:cs="华文仿宋"/>
          <w:sz w:val="32"/>
          <w:szCs w:val="32"/>
          <w:lang w:eastAsia="zh-CN"/>
        </w:rPr>
        <w:t>举报人”</w:t>
      </w:r>
      <w:r>
        <w:rPr>
          <w:rFonts w:hint="eastAsia" w:ascii="华文仿宋" w:hAnsi="华文仿宋" w:eastAsia="华文仿宋" w:cs="华文仿宋"/>
          <w:sz w:val="32"/>
          <w:szCs w:val="32"/>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购买</w:t>
      </w:r>
      <w:r>
        <w:rPr>
          <w:rFonts w:hint="eastAsia" w:ascii="华文仿宋" w:hAnsi="华文仿宋" w:eastAsia="华文仿宋" w:cs="华文仿宋"/>
          <w:sz w:val="32"/>
          <w:szCs w:val="32"/>
          <w:lang w:eastAsia="zh-CN"/>
        </w:rPr>
        <w:t>非处方药甲硝唑口腔粘贴片</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25</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val="en-US" w:eastAsia="zh-CN"/>
        </w:rPr>
        <w:t>被</w:t>
      </w:r>
      <w:r>
        <w:rPr>
          <w:rFonts w:hint="eastAsia" w:ascii="华文仿宋" w:hAnsi="华文仿宋" w:eastAsia="华文仿宋" w:cs="华文仿宋"/>
          <w:sz w:val="32"/>
          <w:szCs w:val="32"/>
        </w:rPr>
        <w:t>申请人</w:t>
      </w:r>
      <w:r>
        <w:rPr>
          <w:rFonts w:hint="eastAsia" w:ascii="华文仿宋" w:hAnsi="华文仿宋" w:eastAsia="华文仿宋" w:cs="华文仿宋"/>
          <w:sz w:val="32"/>
          <w:szCs w:val="32"/>
          <w:lang w:val="en-US" w:eastAsia="zh-CN"/>
        </w:rPr>
        <w:t>收到申请人邮寄的投诉举报书</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申请人</w:t>
      </w:r>
      <w:r>
        <w:rPr>
          <w:rFonts w:hint="eastAsia" w:ascii="华文仿宋" w:hAnsi="华文仿宋" w:eastAsia="华文仿宋" w:cs="华文仿宋"/>
          <w:sz w:val="32"/>
          <w:szCs w:val="32"/>
        </w:rPr>
        <w:t>称</w:t>
      </w:r>
      <w:r>
        <w:rPr>
          <w:rFonts w:hint="eastAsia" w:ascii="华文仿宋" w:hAnsi="华文仿宋" w:eastAsia="华文仿宋" w:cs="华文仿宋"/>
          <w:sz w:val="32"/>
          <w:szCs w:val="32"/>
          <w:lang w:eastAsia="zh-CN"/>
        </w:rPr>
        <w:t>被</w:t>
      </w:r>
      <w:r>
        <w:rPr>
          <w:rFonts w:hint="eastAsia" w:ascii="华文仿宋" w:hAnsi="华文仿宋" w:eastAsia="华文仿宋" w:cs="华文仿宋"/>
          <w:sz w:val="32"/>
          <w:szCs w:val="32"/>
          <w:lang w:val="en-US" w:eastAsia="zh-CN"/>
        </w:rPr>
        <w:t>投诉</w:t>
      </w:r>
      <w:r>
        <w:rPr>
          <w:rFonts w:hint="eastAsia" w:ascii="华文仿宋" w:hAnsi="华文仿宋" w:eastAsia="华文仿宋" w:cs="华文仿宋"/>
          <w:sz w:val="32"/>
          <w:szCs w:val="32"/>
          <w:lang w:eastAsia="zh-CN"/>
        </w:rPr>
        <w:t>举报人</w:t>
      </w:r>
      <w:r>
        <w:rPr>
          <w:rFonts w:hint="eastAsia" w:ascii="华文仿宋" w:hAnsi="华文仿宋" w:eastAsia="华文仿宋" w:cs="华文仿宋"/>
          <w:sz w:val="32"/>
          <w:szCs w:val="32"/>
          <w:lang w:val="en-US" w:eastAsia="zh-CN"/>
        </w:rPr>
        <w:t>销售</w:t>
      </w:r>
      <w:r>
        <w:rPr>
          <w:rFonts w:hint="eastAsia" w:ascii="华文仿宋" w:hAnsi="华文仿宋" w:eastAsia="华文仿宋" w:cs="华文仿宋"/>
          <w:sz w:val="32"/>
          <w:szCs w:val="32"/>
          <w:lang w:eastAsia="zh-CN"/>
        </w:rPr>
        <w:t>的非处方药甲硝唑口腔粘贴片</w:t>
      </w:r>
      <w:r>
        <w:rPr>
          <w:rFonts w:hint="eastAsia" w:ascii="华文仿宋" w:hAnsi="华文仿宋" w:eastAsia="华文仿宋" w:cs="华文仿宋"/>
          <w:b w:val="0"/>
          <w:bCs w:val="0"/>
          <w:sz w:val="32"/>
          <w:szCs w:val="32"/>
          <w:lang w:eastAsia="zh-CN"/>
        </w:rPr>
        <w:t>涉嫌发布未经审查的药品广告和虚假</w:t>
      </w:r>
      <w:r>
        <w:rPr>
          <w:rFonts w:hint="eastAsia" w:ascii="华文仿宋" w:hAnsi="华文仿宋" w:eastAsia="华文仿宋" w:cs="华文仿宋"/>
          <w:b w:val="0"/>
          <w:bCs w:val="0"/>
          <w:sz w:val="32"/>
          <w:szCs w:val="32"/>
          <w:lang w:val="en-US" w:eastAsia="zh-CN"/>
        </w:rPr>
        <w:t>夸大药品功效的问题，请求</w:t>
      </w:r>
      <w:r>
        <w:rPr>
          <w:rFonts w:hint="eastAsia" w:ascii="华文仿宋" w:hAnsi="华文仿宋" w:eastAsia="华文仿宋" w:cs="华文仿宋"/>
          <w:b w:val="0"/>
          <w:bCs w:val="0"/>
          <w:sz w:val="32"/>
          <w:szCs w:val="32"/>
          <w:lang w:eastAsia="zh-CN"/>
        </w:rPr>
        <w:t>依法查处、赔偿并给予奖励</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eastAsia="zh-CN"/>
        </w:rPr>
        <w:t>对其举报事项，</w:t>
      </w:r>
      <w:r>
        <w:rPr>
          <w:rFonts w:hint="eastAsia" w:ascii="华文仿宋" w:hAnsi="华文仿宋" w:eastAsia="华文仿宋" w:cs="华文仿宋"/>
          <w:kern w:val="2"/>
          <w:sz w:val="32"/>
          <w:szCs w:val="32"/>
          <w:lang w:val="en-US" w:eastAsia="zh-CN" w:bidi="ar-SA"/>
        </w:rPr>
        <w:t>2024年8月15日，被申请人决定将核查期限延长十五个工作日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2024年</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28</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被申请人经核查认为被投诉举报人违法行为轻微并积极配合整改，没有造成危害后果，依据《</w:t>
      </w:r>
      <w:r>
        <w:rPr>
          <w:rFonts w:hint="eastAsia" w:ascii="华文仿宋" w:hAnsi="华文仿宋" w:eastAsia="华文仿宋" w:cs="华文仿宋"/>
          <w:sz w:val="32"/>
          <w:szCs w:val="32"/>
          <w:lang w:val="en-US" w:eastAsia="zh-CN"/>
        </w:rPr>
        <w:t>市场监督管理行政处罚程序规定</w:t>
      </w:r>
      <w:r>
        <w:rPr>
          <w:rFonts w:hint="eastAsia" w:ascii="华文仿宋" w:hAnsi="华文仿宋" w:eastAsia="华文仿宋" w:cs="华文仿宋"/>
          <w:color w:val="auto"/>
          <w:sz w:val="32"/>
          <w:szCs w:val="32"/>
          <w:lang w:val="en-US" w:eastAsia="zh-CN"/>
        </w:rPr>
        <w:t>》第二十条第一款第一项作</w:t>
      </w:r>
      <w:r>
        <w:rPr>
          <w:rFonts w:hint="eastAsia" w:ascii="华文仿宋" w:hAnsi="华文仿宋" w:eastAsia="华文仿宋" w:cs="华文仿宋"/>
          <w:sz w:val="32"/>
          <w:szCs w:val="32"/>
        </w:rPr>
        <w:t>出不予立案决定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2024年8月30日，被申请人通过短信</w:t>
      </w:r>
      <w:r>
        <w:rPr>
          <w:rFonts w:hint="eastAsia" w:ascii="华文仿宋" w:hAnsi="华文仿宋" w:eastAsia="华文仿宋" w:cs="华文仿宋"/>
          <w:sz w:val="32"/>
          <w:szCs w:val="32"/>
          <w:lang w:eastAsia="zh-CN"/>
        </w:rPr>
        <w:t>将不予立案决定</w:t>
      </w:r>
      <w:r>
        <w:rPr>
          <w:rFonts w:hint="eastAsia" w:ascii="华文仿宋" w:hAnsi="华文仿宋" w:eastAsia="华文仿宋" w:cs="华文仿宋"/>
          <w:sz w:val="32"/>
          <w:szCs w:val="32"/>
        </w:rPr>
        <w:t>告知申请人</w:t>
      </w:r>
      <w:r>
        <w:rPr>
          <w:rFonts w:hint="eastAsia" w:ascii="华文仿宋" w:hAnsi="华文仿宋" w:eastAsia="华文仿宋" w:cs="华文仿宋"/>
          <w:sz w:val="32"/>
          <w:szCs w:val="32"/>
          <w:lang w:eastAsia="zh-CN"/>
        </w:rPr>
        <w:t>。</w:t>
      </w:r>
    </w:p>
    <w:p w14:paraId="41603860">
      <w:pPr>
        <w:ind w:firstLine="643" w:firstLineChars="200"/>
        <w:rPr>
          <w:rFonts w:hint="eastAsia" w:ascii="Times New Roman" w:hAnsi="Times New Roman" w:eastAsia="宋体" w:cs="Times New Roman"/>
          <w:kern w:val="2"/>
          <w:sz w:val="21"/>
          <w:szCs w:val="24"/>
          <w:lang w:val="en-US" w:eastAsia="zh-CN" w:bidi="ar-SA"/>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根据《市场监督管理行政处罚程序规定》第十八条、第二十条及《市场监督管理投诉举报处理暂行办法》第三十一条等规定，被申请人在法定期限内履行了核查、不予立案、告知等法定职能，符合法定程序。</w:t>
      </w:r>
      <w:r>
        <w:rPr>
          <w:rFonts w:hint="eastAsia" w:ascii="华文仿宋" w:hAnsi="华文仿宋" w:eastAsia="华文仿宋" w:cs="华文仿宋"/>
          <w:sz w:val="32"/>
          <w:szCs w:val="32"/>
          <w:lang w:val="en-US" w:eastAsia="zh-CN"/>
        </w:rPr>
        <w:t>被投诉举报人发布虚假广告的行为违反了</w:t>
      </w:r>
      <w:r>
        <w:rPr>
          <w:rFonts w:hint="eastAsia" w:ascii="华文仿宋" w:hAnsi="华文仿宋" w:eastAsia="华文仿宋" w:cs="华文仿宋"/>
          <w:sz w:val="32"/>
          <w:szCs w:val="32"/>
          <w:lang w:eastAsia="zh-CN"/>
        </w:rPr>
        <w:t>《中华人民共和国</w:t>
      </w:r>
      <w:r>
        <w:rPr>
          <w:rFonts w:hint="eastAsia" w:ascii="华文仿宋" w:hAnsi="华文仿宋" w:eastAsia="华文仿宋" w:cs="华文仿宋"/>
          <w:sz w:val="32"/>
          <w:szCs w:val="32"/>
          <w:lang w:val="en-US" w:eastAsia="zh-CN"/>
        </w:rPr>
        <w:t>广告</w:t>
      </w:r>
      <w:r>
        <w:rPr>
          <w:rFonts w:hint="eastAsia" w:ascii="华文仿宋" w:hAnsi="华文仿宋" w:eastAsia="华文仿宋" w:cs="华文仿宋"/>
          <w:sz w:val="32"/>
          <w:szCs w:val="32"/>
          <w:lang w:eastAsia="zh-CN"/>
        </w:rPr>
        <w:t>法》第四条、第四十六条</w:t>
      </w:r>
      <w:r>
        <w:rPr>
          <w:rFonts w:hint="eastAsia" w:ascii="华文仿宋" w:hAnsi="华文仿宋" w:eastAsia="华文仿宋" w:cs="华文仿宋"/>
          <w:sz w:val="32"/>
          <w:szCs w:val="32"/>
          <w:lang w:val="en-US" w:eastAsia="zh-CN"/>
        </w:rPr>
        <w:t>规定，但</w:t>
      </w:r>
      <w:r>
        <w:rPr>
          <w:rFonts w:hint="eastAsia" w:ascii="华文仿宋" w:hAnsi="华文仿宋" w:eastAsia="华文仿宋" w:cs="华文仿宋"/>
          <w:b w:val="0"/>
          <w:bCs w:val="0"/>
          <w:sz w:val="32"/>
          <w:szCs w:val="32"/>
          <w:lang w:val="en-US" w:eastAsia="zh-CN"/>
        </w:rPr>
        <w:t>违法行为轻微并及时改正，没有造成危害后果，</w:t>
      </w:r>
      <w:r>
        <w:rPr>
          <w:rFonts w:hint="eastAsia" w:ascii="华文仿宋" w:hAnsi="华文仿宋" w:eastAsia="华文仿宋" w:cs="华文仿宋"/>
          <w:sz w:val="32"/>
          <w:szCs w:val="32"/>
          <w:lang w:val="en-US" w:eastAsia="zh-CN"/>
        </w:rPr>
        <w:t>被申请人依据《市场监督管理行政处罚程序规定》第二十条作出不予立案决定，认定事实清楚，适用法律正确</w:t>
      </w:r>
      <w:r>
        <w:rPr>
          <w:rFonts w:hint="eastAsia" w:ascii="华文仿宋" w:hAnsi="华文仿宋" w:eastAsia="华文仿宋" w:cs="华文仿宋"/>
          <w:sz w:val="32"/>
          <w:szCs w:val="32"/>
          <w:lang w:eastAsia="zh-CN"/>
        </w:rPr>
        <w:t>。</w:t>
      </w:r>
    </w:p>
    <w:p w14:paraId="74E899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根据《中华人民共和国行政复议法》第六十八条之规定，本机关决定如下:</w:t>
      </w:r>
    </w:p>
    <w:p w14:paraId="5E37D5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维持被申请人作出的不予立案决定。</w:t>
      </w:r>
    </w:p>
    <w:p w14:paraId="7191FF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14:paraId="64A10C83">
      <w:pPr>
        <w:pStyle w:val="2"/>
        <w:rPr>
          <w:rFonts w:hint="eastAsia" w:ascii="华文仿宋" w:hAnsi="华文仿宋" w:eastAsia="华文仿宋" w:cs="华文仿宋"/>
          <w:color w:val="000000" w:themeColor="text1"/>
          <w:sz w:val="32"/>
          <w:szCs w:val="32"/>
          <w:highlight w:val="none"/>
          <w14:textFill>
            <w14:solidFill>
              <w14:schemeClr w14:val="tx1"/>
            </w14:solidFill>
          </w14:textFill>
        </w:rPr>
      </w:pPr>
    </w:p>
    <w:p w14:paraId="334E933F">
      <w:pPr>
        <w:rPr>
          <w:rFonts w:hint="eastAsia" w:ascii="华文仿宋" w:hAnsi="华文仿宋" w:eastAsia="华文仿宋" w:cs="华文仿宋"/>
          <w:color w:val="000000" w:themeColor="text1"/>
          <w:sz w:val="32"/>
          <w:szCs w:val="32"/>
          <w:highlight w:val="none"/>
          <w14:textFill>
            <w14:solidFill>
              <w14:schemeClr w14:val="tx1"/>
            </w14:solidFill>
          </w14:textFill>
        </w:rPr>
      </w:pPr>
    </w:p>
    <w:p w14:paraId="5DBC5D39">
      <w:pPr>
        <w:pStyle w:val="2"/>
        <w:rPr>
          <w:rFonts w:hint="eastAsia" w:ascii="华文仿宋" w:hAnsi="华文仿宋" w:eastAsia="华文仿宋" w:cs="华文仿宋"/>
          <w:color w:val="000000" w:themeColor="text1"/>
          <w:sz w:val="32"/>
          <w:szCs w:val="32"/>
          <w:highlight w:val="none"/>
          <w14:textFill>
            <w14:solidFill>
              <w14:schemeClr w14:val="tx1"/>
            </w14:solidFill>
          </w14:textFill>
        </w:rPr>
      </w:pPr>
    </w:p>
    <w:p w14:paraId="6B6EB160">
      <w:pPr>
        <w:rPr>
          <w:rFonts w:hint="eastAsia"/>
        </w:rPr>
      </w:pPr>
    </w:p>
    <w:p w14:paraId="503E235A">
      <w:pPr>
        <w:keepNext w:val="0"/>
        <w:keepLines w:val="0"/>
        <w:pageBreakBefore w:val="0"/>
        <w:widowControl w:val="0"/>
        <w:kinsoku/>
        <w:overflowPunct/>
        <w:topLinePunct w:val="0"/>
        <w:autoSpaceDE/>
        <w:autoSpaceDN/>
        <w:bidi w:val="0"/>
        <w:adjustRightInd/>
        <w:snapToGrid/>
        <w:spacing w:line="600" w:lineRule="exact"/>
        <w:ind w:right="1280" w:firstLine="1280" w:firstLineChars="400"/>
        <w:jc w:val="right"/>
        <w:textAlignment w:val="auto"/>
        <w:rPr>
          <w:rFonts w:hint="eastAsia" w:ascii="仿宋" w:hAnsi="仿宋" w:eastAsia="仿宋" w:cs="仿宋"/>
          <w:sz w:val="32"/>
          <w:szCs w:val="36"/>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11月20</w:t>
      </w:r>
      <w:r>
        <w:rPr>
          <w:rFonts w:hint="eastAsia" w:ascii="华文仿宋" w:hAnsi="华文仿宋" w:eastAsia="华文仿宋" w:cs="华文仿宋"/>
          <w:sz w:val="32"/>
          <w:szCs w:val="32"/>
        </w:rPr>
        <w:t>日　　　</w:t>
      </w:r>
      <w:r>
        <w:rPr>
          <w:rFonts w:hint="eastAsia" w:ascii="华文仿宋" w:hAnsi="华文仿宋" w:eastAsia="华文仿宋" w:cs="华文仿宋"/>
          <w:sz w:val="32"/>
          <w:szCs w:val="36"/>
        </w:rPr>
        <w:t>　　</w:t>
      </w:r>
      <w:r>
        <w:rPr>
          <w:rFonts w:hint="eastAsia" w:ascii="仿宋" w:hAnsi="仿宋" w:eastAsia="仿宋" w:cs="仿宋"/>
          <w:sz w:val="32"/>
          <w:szCs w:val="36"/>
        </w:rPr>
        <w:t>　　</w:t>
      </w:r>
    </w:p>
    <w:p w14:paraId="4570F92E">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65E32AA9">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468F29FA">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5948C26C">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4C32FBE3">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456C5B37">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3EC9EDD7">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2FB83670">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7EED8FE2">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5D9A5186">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5556B2DF">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5119EC0E">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6D4272B5">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485AB3A6">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41113745">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7D1A217A">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614E979C">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6DA3B66D">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34BF3DFD">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65900488">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791EACDE">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6A98B2F6">
      <w:pPr>
        <w:pStyle w:val="3"/>
        <w:keepNext w:val="0"/>
        <w:keepLines w:val="0"/>
        <w:pageBreakBefore w:val="0"/>
        <w:widowControl w:val="0"/>
        <w:kinsoku/>
        <w:overflowPunct/>
        <w:topLinePunct w:val="0"/>
        <w:autoSpaceDE/>
        <w:autoSpaceDN/>
        <w:bidi w:val="0"/>
        <w:adjustRightInd/>
        <w:snapToGrid/>
        <w:spacing w:line="600" w:lineRule="exact"/>
        <w:ind w:left="0" w:leftChars="0" w:firstLine="0" w:firstLineChars="0"/>
        <w:rPr>
          <w:rFonts w:hint="eastAsia" w:ascii="仿宋" w:hAnsi="仿宋" w:eastAsia="仿宋" w:cs="仿宋"/>
          <w:sz w:val="32"/>
          <w:szCs w:val="36"/>
        </w:rPr>
      </w:pPr>
    </w:p>
    <w:p w14:paraId="67FFD7D8">
      <w:pPr>
        <w:keepNext w:val="0"/>
        <w:keepLines w:val="0"/>
        <w:pageBreakBefore w:val="0"/>
        <w:widowControl w:val="0"/>
        <w:tabs>
          <w:tab w:val="left" w:pos="7560"/>
          <w:tab w:val="left" w:pos="8640"/>
        </w:tabs>
        <w:kinsoku/>
        <w:wordWrap/>
        <w:overflowPunct/>
        <w:topLinePunct w:val="0"/>
        <w:autoSpaceDE/>
        <w:autoSpaceDN/>
        <w:bidi w:val="0"/>
        <w:adjustRightInd/>
        <w:snapToGrid/>
        <w:spacing w:line="600" w:lineRule="exact"/>
        <w:ind w:left="0" w:right="0" w:rightChars="0" w:firstLine="105" w:firstLineChars="50"/>
        <w:jc w:val="left"/>
        <w:textAlignment w:val="baseline"/>
        <w:rPr>
          <w:rFonts w:hint="eastAsia" w:ascii="仿宋" w:hAnsi="仿宋" w:eastAsia="仿宋" w:cs="仿宋"/>
          <w:sz w:val="32"/>
          <w:szCs w:val="36"/>
        </w:rPr>
      </w:pPr>
      <w:r>
        <w:rPr>
          <w:rFonts w:hint="eastAsia"/>
          <w:b w:val="0"/>
          <w:bCs/>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104140</wp:posOffset>
                </wp:positionV>
                <wp:extent cx="5600700" cy="0"/>
                <wp:effectExtent l="0" t="4445" r="0" b="5080"/>
                <wp:wrapNone/>
                <wp:docPr id="1"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1.35pt;margin-top:8.2pt;height:0pt;width:441pt;z-index:251659264;mso-width-relative:page;mso-height-relative:page;" filled="f" stroked="t" coordsize="21600,21600" o:gfxdata="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MvPlTT&#10;AAAABwEAAA8AAAAAAAAAAQAgAAAAIgAAAGRycy9kb3ducmV2LnhtbFBLAQIUABQAAAAIAIdO4kCs&#10;zteP7AEAAOkDAAAOAAAAAAAAAAEAIAAAACIBAABkcnMvZTJvRG9jLnhtbFBLBQYAAAAABgAGAFkB&#10;AACABQAAAAA=&#10;">
                <v:fill on="f" focussize="0,0"/>
                <v:stroke color="#000000" joinstyle="round"/>
                <v:imagedata o:title=""/>
                <o:lock v:ext="edit" aspectratio="f"/>
              </v:line>
            </w:pict>
          </mc:Fallback>
        </mc:AlternateContent>
      </w:r>
      <w:r>
        <w:rPr>
          <w:rFonts w:hint="eastAsia"/>
          <w:b w:val="0"/>
          <w:bC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442595</wp:posOffset>
                </wp:positionV>
                <wp:extent cx="5600700" cy="0"/>
                <wp:effectExtent l="0" t="4445" r="0" b="5080"/>
                <wp:wrapNone/>
                <wp:docPr id="2" name="直线 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0pt;margin-top:34.85pt;height:0pt;width:441pt;z-index:251660288;mso-width-relative:page;mso-height-relative:page;" filled="f" stroked="t" coordsize="21600,21600" o:gfxdata="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3/Wtk&#10;0wAAAAYBAAAPAAAAAAAAAAEAIAAAACIAAABkcnMvZG93bnJldi54bWxQSwECFAAUAAAACACHTuJA&#10;fY5qnu0BAADqAwAADgAAAAAAAAABACAAAAAiAQAAZHJzL2Uyb0RvYy54bWxQSwUGAAAAAAYABgBZ&#10;AQAAgQUAAAAA&#10;">
                <v:fill on="f" focussize="0,0"/>
                <v:stroke color="#000000" joinstyle="round"/>
                <v:imagedata o:title=""/>
                <o:lock v:ext="edit" aspectratio="f"/>
              </v:line>
            </w:pict>
          </mc:Fallback>
        </mc:AlternateContent>
      </w:r>
      <w:r>
        <w:rPr>
          <w:rFonts w:hint="eastAsia" w:ascii="华文仿宋" w:hAnsi="华文仿宋" w:eastAsia="华文仿宋"/>
          <w:b w:val="0"/>
          <w:bCs/>
          <w:sz w:val="28"/>
          <w:szCs w:val="28"/>
          <w:lang w:val="en-US" w:eastAsia="zh-CN"/>
        </w:rPr>
        <w:t>洛阳市</w:t>
      </w:r>
      <w:r>
        <w:rPr>
          <w:rFonts w:hint="eastAsia" w:ascii="华文仿宋" w:hAnsi="华文仿宋" w:eastAsia="华文仿宋"/>
          <w:b w:val="0"/>
          <w:bCs/>
          <w:sz w:val="28"/>
          <w:szCs w:val="28"/>
        </w:rPr>
        <w:t>瀍河回族区</w:t>
      </w:r>
      <w:r>
        <w:rPr>
          <w:rFonts w:hint="eastAsia" w:ascii="华文仿宋" w:hAnsi="华文仿宋" w:eastAsia="华文仿宋"/>
          <w:b w:val="0"/>
          <w:bCs/>
          <w:sz w:val="28"/>
          <w:szCs w:val="28"/>
          <w:lang w:val="en-US" w:eastAsia="zh-CN"/>
        </w:rPr>
        <w:t>司法局</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20</w:t>
      </w:r>
      <w:r>
        <w:rPr>
          <w:rFonts w:hint="eastAsia" w:ascii="华文仿宋" w:hAnsi="华文仿宋" w:eastAsia="华文仿宋"/>
          <w:b w:val="0"/>
          <w:bCs/>
          <w:sz w:val="28"/>
          <w:szCs w:val="28"/>
          <w:lang w:val="en-US" w:eastAsia="zh-CN"/>
        </w:rPr>
        <w:t>24</w:t>
      </w:r>
      <w:r>
        <w:rPr>
          <w:rFonts w:hint="eastAsia" w:ascii="华文仿宋" w:hAnsi="华文仿宋" w:eastAsia="华文仿宋"/>
          <w:b w:val="0"/>
          <w:bCs/>
          <w:sz w:val="28"/>
          <w:szCs w:val="28"/>
        </w:rPr>
        <w:t>年</w:t>
      </w:r>
      <w:r>
        <w:rPr>
          <w:rFonts w:hint="eastAsia" w:ascii="华文仿宋" w:hAnsi="华文仿宋" w:eastAsia="华文仿宋"/>
          <w:b w:val="0"/>
          <w:bCs/>
          <w:sz w:val="28"/>
          <w:szCs w:val="28"/>
          <w:lang w:val="en-US" w:eastAsia="zh-CN"/>
        </w:rPr>
        <w:t>11月20</w:t>
      </w:r>
      <w:r>
        <w:rPr>
          <w:rFonts w:hint="eastAsia" w:ascii="华文仿宋" w:hAnsi="华文仿宋" w:eastAsia="华文仿宋"/>
          <w:b w:val="0"/>
          <w:bCs/>
          <w:sz w:val="28"/>
          <w:szCs w:val="28"/>
        </w:rPr>
        <w:t>日印发</w:t>
      </w: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1E1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901538">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34901538">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WFiZGUzNWZmZGM4ZDIxNDVlYjM0OGFjNDVjOTE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AE5C93"/>
    <w:rsid w:val="02DE4B9A"/>
    <w:rsid w:val="03317B05"/>
    <w:rsid w:val="035A06BC"/>
    <w:rsid w:val="040F3C35"/>
    <w:rsid w:val="042601F7"/>
    <w:rsid w:val="047D7CD3"/>
    <w:rsid w:val="048017C8"/>
    <w:rsid w:val="04E25B7C"/>
    <w:rsid w:val="0539563E"/>
    <w:rsid w:val="05750B9E"/>
    <w:rsid w:val="06B93983"/>
    <w:rsid w:val="06FD0DFE"/>
    <w:rsid w:val="06FF6D8A"/>
    <w:rsid w:val="07414F74"/>
    <w:rsid w:val="07DF16BB"/>
    <w:rsid w:val="08304C8A"/>
    <w:rsid w:val="088A7403"/>
    <w:rsid w:val="08E65ADD"/>
    <w:rsid w:val="090A1252"/>
    <w:rsid w:val="092A667A"/>
    <w:rsid w:val="09412D13"/>
    <w:rsid w:val="09F51698"/>
    <w:rsid w:val="0A2368BD"/>
    <w:rsid w:val="0A261F09"/>
    <w:rsid w:val="0B392677"/>
    <w:rsid w:val="0BBC2B25"/>
    <w:rsid w:val="0BD77BC0"/>
    <w:rsid w:val="0C57284E"/>
    <w:rsid w:val="0CEF2A86"/>
    <w:rsid w:val="0D8E229F"/>
    <w:rsid w:val="0DA36443"/>
    <w:rsid w:val="0DE277B4"/>
    <w:rsid w:val="0E4A44D4"/>
    <w:rsid w:val="0F593986"/>
    <w:rsid w:val="0FF629F0"/>
    <w:rsid w:val="0FFA3C1C"/>
    <w:rsid w:val="103B1BD3"/>
    <w:rsid w:val="10574C75"/>
    <w:rsid w:val="10640B3D"/>
    <w:rsid w:val="108F2163"/>
    <w:rsid w:val="109206B0"/>
    <w:rsid w:val="113743A6"/>
    <w:rsid w:val="12831C96"/>
    <w:rsid w:val="140E7C96"/>
    <w:rsid w:val="1414709D"/>
    <w:rsid w:val="1462329E"/>
    <w:rsid w:val="14D20981"/>
    <w:rsid w:val="16CE7D9B"/>
    <w:rsid w:val="16D03B97"/>
    <w:rsid w:val="16EF5383"/>
    <w:rsid w:val="1724189B"/>
    <w:rsid w:val="17447666"/>
    <w:rsid w:val="1776580A"/>
    <w:rsid w:val="17EB6C6C"/>
    <w:rsid w:val="187F6144"/>
    <w:rsid w:val="18A8690B"/>
    <w:rsid w:val="18ED3189"/>
    <w:rsid w:val="19BA5516"/>
    <w:rsid w:val="19DD25E4"/>
    <w:rsid w:val="1A205B94"/>
    <w:rsid w:val="1A54747D"/>
    <w:rsid w:val="1AEB5A33"/>
    <w:rsid w:val="1B7D688C"/>
    <w:rsid w:val="1C0F3B7F"/>
    <w:rsid w:val="1CBD5A68"/>
    <w:rsid w:val="1D32006F"/>
    <w:rsid w:val="1ECB76C6"/>
    <w:rsid w:val="1EE937D9"/>
    <w:rsid w:val="1FED5A85"/>
    <w:rsid w:val="206C6D98"/>
    <w:rsid w:val="216E446A"/>
    <w:rsid w:val="23B23011"/>
    <w:rsid w:val="23CD5478"/>
    <w:rsid w:val="23E9009E"/>
    <w:rsid w:val="24A24F3D"/>
    <w:rsid w:val="258F4F9F"/>
    <w:rsid w:val="25EF1881"/>
    <w:rsid w:val="28CD5F1A"/>
    <w:rsid w:val="2A2342F0"/>
    <w:rsid w:val="2A7A71F1"/>
    <w:rsid w:val="2ADA1AA8"/>
    <w:rsid w:val="2AF07C9E"/>
    <w:rsid w:val="2CE12B6C"/>
    <w:rsid w:val="2CED2311"/>
    <w:rsid w:val="2D3415BE"/>
    <w:rsid w:val="2DA7343A"/>
    <w:rsid w:val="2DAC25A2"/>
    <w:rsid w:val="2E01545A"/>
    <w:rsid w:val="2E921B07"/>
    <w:rsid w:val="2F1D5639"/>
    <w:rsid w:val="300C57D0"/>
    <w:rsid w:val="30536487"/>
    <w:rsid w:val="311566B0"/>
    <w:rsid w:val="31383202"/>
    <w:rsid w:val="313A5EF2"/>
    <w:rsid w:val="316231F4"/>
    <w:rsid w:val="31C47204"/>
    <w:rsid w:val="32447672"/>
    <w:rsid w:val="3246516F"/>
    <w:rsid w:val="3344502A"/>
    <w:rsid w:val="33AD7074"/>
    <w:rsid w:val="346F4603"/>
    <w:rsid w:val="34FB55E7"/>
    <w:rsid w:val="357C0D85"/>
    <w:rsid w:val="36857E34"/>
    <w:rsid w:val="374E46CA"/>
    <w:rsid w:val="37B52474"/>
    <w:rsid w:val="37D921E5"/>
    <w:rsid w:val="391159AF"/>
    <w:rsid w:val="39471325"/>
    <w:rsid w:val="39974106"/>
    <w:rsid w:val="39AB1EFC"/>
    <w:rsid w:val="39C26CA9"/>
    <w:rsid w:val="39FB06B6"/>
    <w:rsid w:val="3A7206CF"/>
    <w:rsid w:val="3AB57AB6"/>
    <w:rsid w:val="3AC400D8"/>
    <w:rsid w:val="3B4D1F0F"/>
    <w:rsid w:val="3B66775F"/>
    <w:rsid w:val="3B886F3E"/>
    <w:rsid w:val="3BDA77E8"/>
    <w:rsid w:val="3C50187A"/>
    <w:rsid w:val="3CB530C4"/>
    <w:rsid w:val="3D8A1DCB"/>
    <w:rsid w:val="3EB15EEC"/>
    <w:rsid w:val="3EB21320"/>
    <w:rsid w:val="3F207B65"/>
    <w:rsid w:val="3F9335C1"/>
    <w:rsid w:val="3FF87DF8"/>
    <w:rsid w:val="4029195A"/>
    <w:rsid w:val="404761A1"/>
    <w:rsid w:val="404D1181"/>
    <w:rsid w:val="40DF7FCE"/>
    <w:rsid w:val="41B657FE"/>
    <w:rsid w:val="41DA7286"/>
    <w:rsid w:val="42206309"/>
    <w:rsid w:val="425846F9"/>
    <w:rsid w:val="42B01819"/>
    <w:rsid w:val="437F6B26"/>
    <w:rsid w:val="443E75BD"/>
    <w:rsid w:val="469A5235"/>
    <w:rsid w:val="46F56910"/>
    <w:rsid w:val="472E3BD0"/>
    <w:rsid w:val="4734642D"/>
    <w:rsid w:val="478B7993"/>
    <w:rsid w:val="495959F3"/>
    <w:rsid w:val="49C906DD"/>
    <w:rsid w:val="4A3563A4"/>
    <w:rsid w:val="4A490B5D"/>
    <w:rsid w:val="4A657908"/>
    <w:rsid w:val="4B17381D"/>
    <w:rsid w:val="4B1C1B06"/>
    <w:rsid w:val="4B8E1423"/>
    <w:rsid w:val="4BC161F0"/>
    <w:rsid w:val="4C877D9A"/>
    <w:rsid w:val="4F245FE4"/>
    <w:rsid w:val="4FDD1670"/>
    <w:rsid w:val="504B2DEF"/>
    <w:rsid w:val="50D94BAC"/>
    <w:rsid w:val="50DC1EC8"/>
    <w:rsid w:val="51AB6549"/>
    <w:rsid w:val="527978FA"/>
    <w:rsid w:val="532F59AA"/>
    <w:rsid w:val="536D5076"/>
    <w:rsid w:val="538F145B"/>
    <w:rsid w:val="548771E6"/>
    <w:rsid w:val="54C30A4C"/>
    <w:rsid w:val="54F478D1"/>
    <w:rsid w:val="56A80B82"/>
    <w:rsid w:val="57415259"/>
    <w:rsid w:val="58190916"/>
    <w:rsid w:val="59AA13D6"/>
    <w:rsid w:val="59AE793C"/>
    <w:rsid w:val="5A8A01F8"/>
    <w:rsid w:val="5ADD61B3"/>
    <w:rsid w:val="5B9E2A28"/>
    <w:rsid w:val="5BD9456F"/>
    <w:rsid w:val="5C0C78A5"/>
    <w:rsid w:val="5C560102"/>
    <w:rsid w:val="5CCF1B42"/>
    <w:rsid w:val="5D172B1C"/>
    <w:rsid w:val="5DCB4698"/>
    <w:rsid w:val="5DCB6579"/>
    <w:rsid w:val="5EB92BF0"/>
    <w:rsid w:val="5EDD4ECE"/>
    <w:rsid w:val="5FD8506F"/>
    <w:rsid w:val="60260D66"/>
    <w:rsid w:val="60544F7D"/>
    <w:rsid w:val="606B7F78"/>
    <w:rsid w:val="60BC4E01"/>
    <w:rsid w:val="60C2446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52C7549"/>
    <w:rsid w:val="65526C12"/>
    <w:rsid w:val="65AB397B"/>
    <w:rsid w:val="65CC0064"/>
    <w:rsid w:val="65FB335C"/>
    <w:rsid w:val="6692787F"/>
    <w:rsid w:val="669756FC"/>
    <w:rsid w:val="67852F40"/>
    <w:rsid w:val="67CE48E7"/>
    <w:rsid w:val="68112267"/>
    <w:rsid w:val="6841155D"/>
    <w:rsid w:val="684969A7"/>
    <w:rsid w:val="68751ABF"/>
    <w:rsid w:val="68EC771B"/>
    <w:rsid w:val="690416A7"/>
    <w:rsid w:val="6922313D"/>
    <w:rsid w:val="694D7E6C"/>
    <w:rsid w:val="69572A79"/>
    <w:rsid w:val="69607C5F"/>
    <w:rsid w:val="697123F4"/>
    <w:rsid w:val="6A9D61FF"/>
    <w:rsid w:val="6B3E1136"/>
    <w:rsid w:val="6B9F6CC6"/>
    <w:rsid w:val="6BEC5C84"/>
    <w:rsid w:val="6C627CF4"/>
    <w:rsid w:val="6C6F7E32"/>
    <w:rsid w:val="6C727F44"/>
    <w:rsid w:val="6C8222B5"/>
    <w:rsid w:val="6D2C27DC"/>
    <w:rsid w:val="6D510DE8"/>
    <w:rsid w:val="6D7B106D"/>
    <w:rsid w:val="6D805164"/>
    <w:rsid w:val="6EA53115"/>
    <w:rsid w:val="6F485C4A"/>
    <w:rsid w:val="6F673C01"/>
    <w:rsid w:val="6F752245"/>
    <w:rsid w:val="6FB2689C"/>
    <w:rsid w:val="6FDA3BC5"/>
    <w:rsid w:val="70012708"/>
    <w:rsid w:val="70912956"/>
    <w:rsid w:val="70B3484B"/>
    <w:rsid w:val="71066EA0"/>
    <w:rsid w:val="71796FF8"/>
    <w:rsid w:val="720D6C69"/>
    <w:rsid w:val="72844B91"/>
    <w:rsid w:val="735465E8"/>
    <w:rsid w:val="74A34027"/>
    <w:rsid w:val="750461C2"/>
    <w:rsid w:val="7535244A"/>
    <w:rsid w:val="75811B3B"/>
    <w:rsid w:val="75B914ED"/>
    <w:rsid w:val="75E9159E"/>
    <w:rsid w:val="75EC1E64"/>
    <w:rsid w:val="761503F8"/>
    <w:rsid w:val="76E351D9"/>
    <w:rsid w:val="76E90802"/>
    <w:rsid w:val="76F31C74"/>
    <w:rsid w:val="77861302"/>
    <w:rsid w:val="778C0A53"/>
    <w:rsid w:val="77A26F39"/>
    <w:rsid w:val="77C24C88"/>
    <w:rsid w:val="77DD05DA"/>
    <w:rsid w:val="77E61994"/>
    <w:rsid w:val="783C4E62"/>
    <w:rsid w:val="786B613C"/>
    <w:rsid w:val="78871D3C"/>
    <w:rsid w:val="78DD67D1"/>
    <w:rsid w:val="794964C4"/>
    <w:rsid w:val="794F7EC8"/>
    <w:rsid w:val="79690914"/>
    <w:rsid w:val="79836C04"/>
    <w:rsid w:val="79DF7B61"/>
    <w:rsid w:val="7A1D7C38"/>
    <w:rsid w:val="7A215B90"/>
    <w:rsid w:val="7AAF05A8"/>
    <w:rsid w:val="7B62386D"/>
    <w:rsid w:val="7C1012DF"/>
    <w:rsid w:val="7C230164"/>
    <w:rsid w:val="7C3C3E89"/>
    <w:rsid w:val="7C6F7133"/>
    <w:rsid w:val="7CC01F00"/>
    <w:rsid w:val="7CFB2E80"/>
    <w:rsid w:val="7DCC5495"/>
    <w:rsid w:val="7E82082D"/>
    <w:rsid w:val="7FA2248A"/>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Autospacing="1" w:afterAutospacing="1" w:line="300" w:lineRule="exact"/>
      <w:outlineLvl w:val="2"/>
    </w:pPr>
    <w:rPr>
      <w:rFonts w:hint="eastAsia" w:ascii="宋体" w:hAnsi="宋体" w:cs="Times New Roman"/>
      <w:sz w:val="18"/>
      <w:szCs w:val="1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rPr>
  </w:style>
  <w:style w:type="character" w:customStyle="1" w:styleId="10">
    <w:name w:val="rgroup"/>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2520</Words>
  <Characters>2583</Characters>
  <Lines>27</Lines>
  <Paragraphs>7</Paragraphs>
  <TotalTime>3</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2024-09-09T11:05:00Z</cp:lastPrinted>
  <dcterms:modified xsi:type="dcterms:W3CDTF">2025-03-20T09:10:42Z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4948BA1524594339A0977895DD127B58_13</vt:lpwstr>
  </property>
  <property fmtid="{D5CDD505-2E9C-101B-9397-08002B2CF9AE}" pid="4" name="KSOTemplateDocerSaveRecord">
    <vt:lpwstr>eyJoZGlkIjoiOGIwY2NiYWE1YjAyOTU0ODE1NmJkMTcyYTFlZWRiZTcifQ==</vt:lpwstr>
  </property>
</Properties>
</file>