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洛阳瀍河回族区财政局关于下达2025年第四批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财政衔接推进乡村振兴补助资金（巩固脱贫拓展攻坚成果和乡村振兴任务）分配情况公告公示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tabs>
          <w:tab w:val="left" w:pos="2475"/>
        </w:tabs>
        <w:spacing w:line="400" w:lineRule="exact"/>
        <w:ind w:left="0" w:leftChars="0" w:firstLine="638" w:firstLineChars="228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按照《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河南省扶贫资金项目公告公示制度</w:t>
      </w:r>
      <w:r>
        <w:rPr>
          <w:rFonts w:hint="eastAsia" w:ascii="仿宋_GB2312" w:hAnsi="Calibri" w:eastAsia="仿宋_GB2312" w:cs="仿宋_GB2312"/>
          <w:sz w:val="28"/>
          <w:szCs w:val="28"/>
        </w:rPr>
        <w:t>》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有关规定</w:t>
      </w:r>
      <w:r>
        <w:rPr>
          <w:rFonts w:hint="eastAsia" w:ascii="仿宋_GB2312" w:hAnsi="Calibri" w:eastAsia="仿宋_GB2312" w:cs="仿宋_GB2312"/>
          <w:sz w:val="28"/>
          <w:szCs w:val="28"/>
        </w:rPr>
        <w:t>，现将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瀍河回族区2025年财政衔接资金</w:t>
      </w:r>
      <w:r>
        <w:rPr>
          <w:rFonts w:hint="eastAsia" w:ascii="仿宋_GB2312" w:hAnsi="Calibri" w:eastAsia="仿宋_GB2312" w:cs="仿宋_GB2312"/>
          <w:sz w:val="28"/>
          <w:szCs w:val="28"/>
        </w:rPr>
        <w:t>分配使用情况公示如下：</w:t>
      </w:r>
    </w:p>
    <w:p>
      <w:pPr>
        <w:tabs>
          <w:tab w:val="left" w:pos="2475"/>
        </w:tabs>
        <w:spacing w:line="400" w:lineRule="exact"/>
        <w:ind w:firstLine="562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bookmarkStart w:id="0" w:name="_Toc11028"/>
      <w:bookmarkStart w:id="1" w:name="_Toc32180"/>
      <w:bookmarkStart w:id="2" w:name="_Toc2613"/>
      <w:bookmarkStart w:id="3" w:name="_Toc17821"/>
      <w:bookmarkStart w:id="4" w:name="_Toc680"/>
      <w:bookmarkStart w:id="5" w:name="_Toc4418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一、资金来源</w:t>
      </w:r>
      <w:bookmarkEnd w:id="0"/>
      <w:bookmarkEnd w:id="1"/>
      <w:bookmarkEnd w:id="2"/>
      <w:bookmarkEnd w:id="3"/>
      <w:bookmarkEnd w:id="4"/>
      <w:bookmarkEnd w:id="5"/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sz w:val="28"/>
          <w:szCs w:val="28"/>
          <w:lang w:val="en-US" w:eastAsia="zh-CN"/>
        </w:rPr>
        <w:t>1.第一批剩余未分配市级资金0.3万元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1号）；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2.第二批市级</w:t>
      </w:r>
      <w:r>
        <w:rPr>
          <w:rFonts w:hint="eastAsia" w:ascii="仿宋_GB2312" w:hAnsi="Calibri" w:eastAsia="仿宋_GB2312" w:cs="仿宋_GB2312"/>
          <w:sz w:val="28"/>
          <w:szCs w:val="28"/>
        </w:rPr>
        <w:t>财政衔接推进乡村振兴补助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剩余资金</w:t>
      </w:r>
      <w:r>
        <w:rPr>
          <w:rFonts w:hint="eastAsia" w:ascii="仿宋_GB2312" w:hAnsi="Calibri" w:eastAsia="仿宋_GB2312" w:cs="仿宋_GB2312"/>
          <w:sz w:val="28"/>
          <w:szCs w:val="28"/>
        </w:rPr>
        <w:t>资金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287</w:t>
      </w:r>
      <w:r>
        <w:rPr>
          <w:rFonts w:hint="eastAsia" w:ascii="仿宋_GB2312" w:hAnsi="Calibri" w:eastAsia="仿宋_GB2312" w:cs="仿宋_GB2312"/>
          <w:sz w:val="28"/>
          <w:szCs w:val="28"/>
        </w:rPr>
        <w:t>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56号）</w:t>
      </w:r>
      <w:bookmarkStart w:id="6" w:name="_Toc21529"/>
      <w:bookmarkStart w:id="7" w:name="_Toc27465"/>
      <w:bookmarkStart w:id="8" w:name="_Toc30305"/>
      <w:bookmarkStart w:id="9" w:name="_Toc11607"/>
      <w:bookmarkStart w:id="10" w:name="_Toc14383"/>
      <w:bookmarkStart w:id="11" w:name="_Toc25554"/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3.第三批市级</w:t>
      </w:r>
      <w:r>
        <w:rPr>
          <w:rFonts w:hint="eastAsia" w:ascii="仿宋_GB2312" w:hAnsi="Calibri" w:eastAsia="仿宋_GB2312" w:cs="仿宋_GB2312"/>
          <w:sz w:val="28"/>
          <w:szCs w:val="28"/>
        </w:rPr>
        <w:t>财政衔接推进乡村振兴补助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剩余资金</w:t>
      </w:r>
      <w:r>
        <w:rPr>
          <w:rFonts w:hint="eastAsia" w:ascii="仿宋_GB2312" w:hAnsi="Calibri" w:eastAsia="仿宋_GB2312" w:cs="仿宋_GB2312"/>
          <w:sz w:val="28"/>
          <w:szCs w:val="28"/>
        </w:rPr>
        <w:t>资金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0.95</w:t>
      </w:r>
      <w:r>
        <w:rPr>
          <w:rFonts w:hint="eastAsia" w:ascii="仿宋_GB2312" w:hAnsi="Calibri" w:eastAsia="仿宋_GB2312" w:cs="仿宋_GB2312"/>
          <w:sz w:val="28"/>
          <w:szCs w:val="28"/>
        </w:rPr>
        <w:t>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</w:rPr>
        <w:t>洛财农【2025】58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号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）；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4.剩余区级未分配58.33万元。</w:t>
      </w:r>
    </w:p>
    <w:p>
      <w:pPr>
        <w:tabs>
          <w:tab w:val="left" w:pos="2475"/>
        </w:tabs>
        <w:spacing w:line="400" w:lineRule="exact"/>
        <w:ind w:firstLine="562" w:firstLineChars="20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分配原则</w:t>
      </w:r>
      <w:bookmarkEnd w:id="6"/>
      <w:bookmarkEnd w:id="7"/>
      <w:bookmarkEnd w:id="8"/>
      <w:bookmarkEnd w:id="9"/>
      <w:bookmarkEnd w:id="10"/>
      <w:bookmarkEnd w:id="11"/>
    </w:p>
    <w:p>
      <w:pPr>
        <w:tabs>
          <w:tab w:val="left" w:pos="2475"/>
        </w:tabs>
        <w:spacing w:line="400" w:lineRule="exact"/>
        <w:rPr>
          <w:rFonts w:hint="eastAsia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Calibri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28"/>
          <w:szCs w:val="28"/>
        </w:rPr>
        <w:t>经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区</w:t>
      </w:r>
      <w:r>
        <w:rPr>
          <w:rFonts w:hint="eastAsia" w:ascii="仿宋_GB2312" w:hAnsi="Calibri" w:eastAsia="仿宋_GB2312" w:cs="仿宋_GB2312"/>
          <w:sz w:val="28"/>
          <w:szCs w:val="28"/>
        </w:rPr>
        <w:t>巩固拓展脱贫攻坚衔接乡村振兴小组研究确定，结合项目准备情况和种植、养殖季节因素，按照以下原则分配资金。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一是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产业扶贫全覆盖的原则，加快改善贫困户，贫困村的生活条件，补齐公共服务设施短板。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二是扶持建档立卡贫困户的原则，扶贫发展资金向贫困户、贫困村倾斜。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三是提供扶贫资金的精准度和效益性原则，充分发挥财政资金引导作用和杠杆作用，撬动金融资本、社会帮扶资金参与脱贫攻坚。</w:t>
      </w:r>
    </w:p>
    <w:p>
      <w:p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tabs>
          <w:tab w:val="left" w:pos="2475"/>
        </w:tabs>
        <w:spacing w:line="400" w:lineRule="exact"/>
        <w:ind w:left="560"/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本次分配结果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1.使用市级资金0.3万元，剩余资金0万元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2.使用市级资金287万元，剩余资金0万元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56号）；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3.使用使用市级资金0.95万元，剩余资金0万元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洛</w:t>
      </w:r>
      <w:r>
        <w:rPr>
          <w:rFonts w:hint="eastAsia" w:ascii="仿宋_GB2312" w:hAnsi="Calibri" w:eastAsia="仿宋_GB2312" w:cs="仿宋_GB2312"/>
          <w:sz w:val="28"/>
          <w:szCs w:val="28"/>
        </w:rPr>
        <w:t>财农【202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</w:rPr>
        <w:t>】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58号）；</w:t>
      </w:r>
    </w:p>
    <w:p>
      <w:pPr>
        <w:numPr>
          <w:ilvl w:val="0"/>
          <w:numId w:val="0"/>
        </w:numPr>
        <w:tabs>
          <w:tab w:val="left" w:pos="2475"/>
        </w:tabs>
        <w:spacing w:line="400" w:lineRule="exact"/>
        <w:ind w:firstLine="560" w:firstLineChars="200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4.使用使用区级配套资金58.33万元，</w:t>
      </w:r>
      <w:bookmarkStart w:id="24" w:name="_GoBack"/>
      <w:bookmarkEnd w:id="24"/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剩余资金0万元。</w:t>
      </w:r>
    </w:p>
    <w:p>
      <w:pPr>
        <w:tabs>
          <w:tab w:val="left" w:pos="2475"/>
        </w:tabs>
        <w:spacing w:line="400" w:lineRule="exact"/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</w:pPr>
    </w:p>
    <w:p>
      <w:pPr>
        <w:tabs>
          <w:tab w:val="left" w:pos="2475"/>
        </w:tabs>
        <w:spacing w:line="400" w:lineRule="exact"/>
        <w:ind w:firstLine="560" w:firstLineChars="200"/>
        <w:rPr>
          <w:rFonts w:hint="default" w:ascii="仿宋_GB2312" w:hAnsi="Calibri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附件</w:t>
      </w:r>
    </w:p>
    <w:p>
      <w:pPr>
        <w:tabs>
          <w:tab w:val="left" w:pos="2475"/>
        </w:tabs>
        <w:spacing w:line="400" w:lineRule="exact"/>
        <w:rPr>
          <w:rFonts w:ascii="仿宋_GB2312" w:hAnsi="Calibri" w:eastAsia="仿宋_GB2312" w:cs="仿宋_GB2312"/>
          <w:sz w:val="28"/>
          <w:szCs w:val="28"/>
        </w:rPr>
      </w:pPr>
    </w:p>
    <w:p>
      <w:pPr>
        <w:tabs>
          <w:tab w:val="left" w:pos="2475"/>
        </w:tabs>
        <w:spacing w:line="400" w:lineRule="exact"/>
        <w:ind w:left="560"/>
        <w:rPr>
          <w:rFonts w:ascii="仿宋_GB2312" w:hAnsi="Calibri" w:eastAsia="仿宋_GB2312" w:cs="仿宋_GB2312"/>
          <w:b/>
          <w:bCs/>
          <w:sz w:val="28"/>
          <w:szCs w:val="28"/>
        </w:rPr>
      </w:pPr>
      <w:bookmarkStart w:id="12" w:name="_Toc16129"/>
      <w:bookmarkStart w:id="13" w:name="_Toc15814"/>
      <w:bookmarkStart w:id="14" w:name="_Toc29911"/>
      <w:bookmarkStart w:id="15" w:name="_Toc9785"/>
      <w:bookmarkStart w:id="16" w:name="_Toc1478"/>
      <w:bookmarkStart w:id="17" w:name="_Toc6744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三、财政衔接推进乡村振兴补助资金分配情况表</w:t>
      </w:r>
      <w:bookmarkEnd w:id="12"/>
      <w:bookmarkEnd w:id="13"/>
      <w:bookmarkEnd w:id="14"/>
      <w:bookmarkEnd w:id="15"/>
      <w:bookmarkEnd w:id="16"/>
      <w:bookmarkEnd w:id="17"/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522" w:type="dxa"/>
            <w:gridSpan w:val="6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瀍河回族区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年第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批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市级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 xml:space="preserve">财政衔接推进乡村振兴补助资金分配情况表     </w:t>
            </w:r>
          </w:p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right"/>
              <w:rPr>
                <w:rFonts w:ascii="仿宋_GB2312" w:hAnsi="Calibri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建设地点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建设内容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投资规模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2025年农田水利建设项目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  <w:t>修建基础设施，改善农田的灌溉条件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337.98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半个店社区优质果蔬农场项目（二期）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  <w:t>建设优质果蔬农场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8.6</w:t>
            </w: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白马寺镇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tabs>
                <w:tab w:val="left" w:pos="2475"/>
              </w:tabs>
              <w:adjustRightInd w:val="0"/>
              <w:snapToGrid w:val="0"/>
              <w:spacing w:after="200" w:line="400" w:lineRule="exact"/>
              <w:jc w:val="center"/>
              <w:rPr>
                <w:rFonts w:hint="default" w:ascii="仿宋_GB2312" w:hAnsi="Calibri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2475"/>
        </w:tabs>
        <w:spacing w:line="400" w:lineRule="exact"/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备注：每个具体项目建设情况由责任单位另行公告公示。</w:t>
      </w:r>
    </w:p>
    <w:p>
      <w:pPr>
        <w:numPr>
          <w:ilvl w:val="0"/>
          <w:numId w:val="2"/>
        </w:numPr>
        <w:tabs>
          <w:tab w:val="left" w:pos="2475"/>
        </w:tabs>
        <w:spacing w:line="400" w:lineRule="exact"/>
        <w:ind w:left="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  <w:bookmarkStart w:id="18" w:name="_Toc16011"/>
      <w:bookmarkStart w:id="19" w:name="_Toc7930"/>
      <w:bookmarkStart w:id="20" w:name="_Toc7506"/>
      <w:bookmarkStart w:id="21" w:name="_Toc21140"/>
      <w:bookmarkStart w:id="22" w:name="_Toc3763"/>
      <w:bookmarkStart w:id="23" w:name="_Toc22036"/>
      <w:r>
        <w:rPr>
          <w:rFonts w:hint="eastAsia" w:ascii="仿宋_GB2312" w:hAnsi="Calibri" w:eastAsia="仿宋_GB2312" w:cs="仿宋_GB2312"/>
          <w:b/>
          <w:bCs/>
          <w:sz w:val="28"/>
          <w:szCs w:val="28"/>
        </w:rPr>
        <w:t>监督电话</w:t>
      </w:r>
      <w:bookmarkEnd w:id="18"/>
      <w:bookmarkEnd w:id="19"/>
      <w:bookmarkEnd w:id="20"/>
      <w:bookmarkEnd w:id="21"/>
      <w:bookmarkEnd w:id="22"/>
      <w:bookmarkEnd w:id="23"/>
    </w:p>
    <w:p>
      <w:pPr>
        <w:numPr>
          <w:ilvl w:val="-1"/>
          <w:numId w:val="0"/>
        </w:numPr>
        <w:tabs>
          <w:tab w:val="left" w:pos="2475"/>
        </w:tabs>
        <w:spacing w:line="400" w:lineRule="exact"/>
        <w:ind w:left="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numPr>
          <w:ilvl w:val="-1"/>
          <w:numId w:val="0"/>
        </w:numPr>
        <w:tabs>
          <w:tab w:val="left" w:pos="2475"/>
        </w:tabs>
        <w:spacing w:line="400" w:lineRule="exact"/>
        <w:ind w:left="0" w:firstLine="562" w:firstLineChars="200"/>
        <w:rPr>
          <w:rFonts w:hint="default" w:ascii="仿宋_GB2312" w:hAnsi="Calibri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sz w:val="28"/>
          <w:szCs w:val="28"/>
          <w:lang w:val="en-US" w:eastAsia="zh-CN"/>
        </w:rPr>
        <w:t>电话：63994909</w:t>
      </w:r>
    </w:p>
    <w:p>
      <w:pPr>
        <w:numPr>
          <w:ilvl w:val="-1"/>
          <w:numId w:val="0"/>
        </w:numPr>
        <w:tabs>
          <w:tab w:val="left" w:pos="2475"/>
        </w:tabs>
        <w:spacing w:line="400" w:lineRule="exact"/>
        <w:ind w:left="0"/>
        <w:rPr>
          <w:rFonts w:hint="eastAsia" w:ascii="仿宋_GB2312" w:hAnsi="Calibri" w:eastAsia="仿宋_GB2312" w:cs="仿宋_GB2312"/>
          <w:b/>
          <w:bCs/>
          <w:sz w:val="28"/>
          <w:szCs w:val="28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6600" w:hanging="6160" w:hangingChars="2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2024年11月15日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B426C7"/>
    <w:multiLevelType w:val="singleLevel"/>
    <w:tmpl w:val="E4B426C7"/>
    <w:lvl w:ilvl="0" w:tentative="0">
      <w:start w:val="2"/>
      <w:numFmt w:val="chineseCounting"/>
      <w:suff w:val="nothing"/>
      <w:lvlText w:val="%1、"/>
      <w:lvlJc w:val="left"/>
      <w:pPr>
        <w:ind w:left="1"/>
      </w:pPr>
      <w:rPr>
        <w:rFonts w:hint="eastAsia"/>
      </w:rPr>
    </w:lvl>
  </w:abstractNum>
  <w:abstractNum w:abstractNumId="1">
    <w:nsid w:val="32BB7994"/>
    <w:multiLevelType w:val="singleLevel"/>
    <w:tmpl w:val="32BB79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ZjllMDI4NGRhNGIyZDkyYTc5MjYyNGZmYTQ2OTUifQ=="/>
  </w:docVars>
  <w:rsids>
    <w:rsidRoot w:val="403A7B8C"/>
    <w:rsid w:val="07A27E5F"/>
    <w:rsid w:val="0B0F752C"/>
    <w:rsid w:val="156F1EB0"/>
    <w:rsid w:val="2D7333D7"/>
    <w:rsid w:val="33705C3F"/>
    <w:rsid w:val="356E0ECC"/>
    <w:rsid w:val="3E9D29AB"/>
    <w:rsid w:val="403A7B8C"/>
    <w:rsid w:val="4714430E"/>
    <w:rsid w:val="47A54731"/>
    <w:rsid w:val="4C683245"/>
    <w:rsid w:val="53960EE0"/>
    <w:rsid w:val="5633247E"/>
    <w:rsid w:val="5728029B"/>
    <w:rsid w:val="575B029F"/>
    <w:rsid w:val="575F5C37"/>
    <w:rsid w:val="59690391"/>
    <w:rsid w:val="5B77560F"/>
    <w:rsid w:val="5E0908AF"/>
    <w:rsid w:val="65647681"/>
    <w:rsid w:val="690D4601"/>
    <w:rsid w:val="6CE42BE6"/>
    <w:rsid w:val="6DFA304F"/>
    <w:rsid w:val="72312AC7"/>
    <w:rsid w:val="74EF6611"/>
    <w:rsid w:val="78400F55"/>
    <w:rsid w:val="787C4DF6"/>
    <w:rsid w:val="7952746D"/>
    <w:rsid w:val="7B4B3344"/>
    <w:rsid w:val="7D1301AD"/>
    <w:rsid w:val="7E37277B"/>
    <w:rsid w:val="7FC5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2024-11-14T02:56:00Z</dcterms:created>
  <dc:creator>姚妖～</dc:creator>
  <cp:lastModifiedBy>CAIWU</cp:lastModifiedBy>
  <cp:lastPrinted>2024-12-26T06:27:00Z</cp:lastPrinted>
  <dcterms:modified xsi:type="dcterms:W3CDTF">2025-12-30T07:44:49Z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0268024CF9124BED8D4D154BB3563C29_11</vt:lpwstr>
  </property>
</Properties>
</file>