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b/>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b/>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b/>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b/>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outlineLvl w:val="9"/>
        <w:rPr>
          <w:b/>
          <w:sz w:val="72"/>
          <w:szCs w:val="72"/>
        </w:rPr>
      </w:pPr>
    </w:p>
    <w:p>
      <w:pPr>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eastAsia"/>
          <w:b/>
          <w:sz w:val="44"/>
          <w:szCs w:val="44"/>
        </w:rPr>
      </w:pPr>
    </w:p>
    <w:p>
      <w:pPr>
        <w:keepNext w:val="0"/>
        <w:keepLines w:val="0"/>
        <w:pageBreakBefore w:val="0"/>
        <w:widowControl w:val="0"/>
        <w:kinsoku/>
        <w:wordWrap/>
        <w:overflowPunct/>
        <w:topLinePunct w:val="0"/>
        <w:autoSpaceDE/>
        <w:autoSpaceDN/>
        <w:bidi w:val="0"/>
        <w:adjustRightInd/>
        <w:snapToGrid/>
        <w:spacing w:line="620" w:lineRule="exact"/>
        <w:textAlignment w:val="auto"/>
        <w:outlineLvl w:val="9"/>
        <w:rPr>
          <w:rFonts w:hint="eastAsia"/>
          <w:b/>
          <w:sz w:val="44"/>
          <w:szCs w:val="44"/>
        </w:rPr>
      </w:pPr>
    </w:p>
    <w:p>
      <w:pPr>
        <w:ind w:firstLine="160" w:firstLineChars="50"/>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瀍发改〔20</w:t>
      </w: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69</w:t>
      </w:r>
      <w:r>
        <w:rPr>
          <w:rFonts w:hint="eastAsia" w:ascii="华文仿宋" w:hAnsi="华文仿宋" w:eastAsia="华文仿宋" w:cs="华文仿宋"/>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both"/>
        <w:textAlignment w:val="auto"/>
        <w:outlineLvl w:val="9"/>
        <w:rPr>
          <w:rFonts w:hint="eastAsia" w:ascii="华文中宋" w:hAnsi="华文中宋" w:eastAsia="华文中宋"/>
          <w:b/>
          <w:sz w:val="44"/>
          <w:szCs w:val="44"/>
        </w:rPr>
      </w:pPr>
    </w:p>
    <w:p>
      <w:pPr>
        <w:widowControl/>
        <w:spacing w:line="540" w:lineRule="exact"/>
        <w:jc w:val="center"/>
        <w:rPr>
          <w:rFonts w:hint="eastAsia" w:ascii="华文中宋" w:hAnsi="华文中宋" w:eastAsia="华文中宋" w:cs="华文中宋"/>
          <w:b/>
          <w:color w:val="000000"/>
          <w:sz w:val="44"/>
          <w:szCs w:val="44"/>
        </w:rPr>
      </w:pPr>
      <w:r>
        <w:rPr>
          <w:rFonts w:hint="eastAsia" w:ascii="华文中宋" w:hAnsi="华文中宋" w:eastAsia="华文中宋" w:cs="华文中宋"/>
          <w:b/>
          <w:color w:val="000000"/>
          <w:kern w:val="0"/>
          <w:sz w:val="44"/>
          <w:szCs w:val="44"/>
          <w:lang w:bidi="ar"/>
        </w:rPr>
        <w:t>瀍河区发改委关于印发</w:t>
      </w:r>
    </w:p>
    <w:p>
      <w:pPr>
        <w:widowControl/>
        <w:spacing w:line="540" w:lineRule="exact"/>
        <w:jc w:val="center"/>
        <w:rPr>
          <w:rFonts w:hint="eastAsia" w:ascii="华文中宋" w:hAnsi="华文中宋" w:eastAsia="华文中宋" w:cs="华文中宋"/>
          <w:b/>
          <w:color w:val="000000"/>
          <w:w w:val="95"/>
          <w:kern w:val="0"/>
          <w:sz w:val="44"/>
          <w:szCs w:val="44"/>
          <w:lang w:bidi="ar"/>
        </w:rPr>
      </w:pPr>
      <w:r>
        <w:rPr>
          <w:rFonts w:hint="eastAsia" w:ascii="华文中宋" w:hAnsi="华文中宋" w:eastAsia="华文中宋" w:cs="华文中宋"/>
          <w:b/>
          <w:color w:val="000000"/>
          <w:w w:val="95"/>
          <w:kern w:val="0"/>
          <w:sz w:val="44"/>
          <w:szCs w:val="44"/>
          <w:lang w:eastAsia="zh-CN" w:bidi="ar"/>
        </w:rPr>
        <w:t>公共资源交易</w:t>
      </w:r>
      <w:r>
        <w:rPr>
          <w:rFonts w:hint="eastAsia" w:ascii="华文中宋" w:hAnsi="华文中宋" w:eastAsia="华文中宋" w:cs="华文中宋"/>
          <w:b/>
          <w:color w:val="000000"/>
          <w:w w:val="95"/>
          <w:kern w:val="0"/>
          <w:sz w:val="44"/>
          <w:szCs w:val="44"/>
          <w:lang w:bidi="ar"/>
        </w:rPr>
        <w:t>领域基层政务公开标准目录</w:t>
      </w:r>
    </w:p>
    <w:p>
      <w:pPr>
        <w:widowControl/>
        <w:tabs>
          <w:tab w:val="center" w:pos="4153"/>
          <w:tab w:val="left" w:pos="6615"/>
        </w:tabs>
        <w:spacing w:line="540" w:lineRule="exact"/>
        <w:jc w:val="left"/>
        <w:rPr>
          <w:rFonts w:hint="eastAsia" w:ascii="华文中宋" w:hAnsi="华文中宋" w:eastAsia="华文中宋" w:cs="华文中宋"/>
          <w:b/>
          <w:color w:val="000000"/>
          <w:w w:val="95"/>
          <w:kern w:val="0"/>
          <w:sz w:val="44"/>
          <w:szCs w:val="44"/>
          <w:lang w:bidi="ar"/>
        </w:rPr>
      </w:pPr>
      <w:r>
        <w:rPr>
          <w:rFonts w:ascii="华文中宋" w:hAnsi="华文中宋" w:eastAsia="华文中宋" w:cs="华文中宋"/>
          <w:b/>
          <w:color w:val="000000"/>
          <w:w w:val="95"/>
          <w:kern w:val="0"/>
          <w:sz w:val="44"/>
          <w:szCs w:val="44"/>
          <w:lang w:bidi="ar"/>
        </w:rPr>
        <w:tab/>
      </w:r>
      <w:r>
        <w:rPr>
          <w:rFonts w:hint="eastAsia" w:ascii="华文中宋" w:hAnsi="华文中宋" w:eastAsia="华文中宋" w:cs="华文中宋"/>
          <w:b/>
          <w:color w:val="000000"/>
          <w:w w:val="95"/>
          <w:kern w:val="0"/>
          <w:sz w:val="44"/>
          <w:szCs w:val="44"/>
          <w:lang w:bidi="ar"/>
        </w:rPr>
        <w:t>指引的通知</w:t>
      </w:r>
      <w:r>
        <w:rPr>
          <w:rFonts w:ascii="华文中宋" w:hAnsi="华文中宋" w:eastAsia="华文中宋" w:cs="华文中宋"/>
          <w:b/>
          <w:color w:val="000000"/>
          <w:w w:val="95"/>
          <w:kern w:val="0"/>
          <w:sz w:val="44"/>
          <w:szCs w:val="44"/>
          <w:lang w:bidi="ar"/>
        </w:rPr>
        <w:tab/>
      </w:r>
    </w:p>
    <w:p>
      <w:pPr>
        <w:widowControl/>
        <w:spacing w:line="540" w:lineRule="exact"/>
        <w:jc w:val="center"/>
        <w:rPr>
          <w:rFonts w:hint="eastAsia" w:ascii="华文中宋" w:hAnsi="华文中宋" w:eastAsia="华文中宋" w:cs="华文中宋"/>
          <w:b/>
          <w:color w:val="000000"/>
          <w:kern w:val="0"/>
          <w:sz w:val="44"/>
          <w:szCs w:val="44"/>
          <w:lang w:bidi="ar"/>
        </w:rPr>
      </w:pPr>
    </w:p>
    <w:p>
      <w:pPr>
        <w:widowControl/>
        <w:spacing w:line="540" w:lineRule="exact"/>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eastAsia="zh-CN" w:bidi="ar"/>
        </w:rPr>
        <w:t>区发改委</w:t>
      </w:r>
      <w:r>
        <w:rPr>
          <w:rFonts w:hint="eastAsia" w:ascii="华文仿宋" w:hAnsi="华文仿宋" w:eastAsia="华文仿宋" w:cs="华文仿宋"/>
          <w:color w:val="000000"/>
          <w:kern w:val="0"/>
          <w:sz w:val="32"/>
          <w:szCs w:val="32"/>
          <w:lang w:bidi="ar"/>
        </w:rPr>
        <w:t>各科室</w:t>
      </w:r>
      <w:r>
        <w:rPr>
          <w:rFonts w:hint="eastAsia" w:ascii="华文仿宋" w:hAnsi="华文仿宋" w:eastAsia="华文仿宋" w:cs="华文仿宋"/>
          <w:color w:val="000000"/>
          <w:kern w:val="0"/>
          <w:sz w:val="32"/>
          <w:szCs w:val="32"/>
          <w:lang w:eastAsia="zh-CN" w:bidi="ar"/>
        </w:rPr>
        <w:t>、经济运行中心、价格认证中心</w:t>
      </w:r>
      <w:r>
        <w:rPr>
          <w:rFonts w:hint="eastAsia" w:ascii="华文仿宋" w:hAnsi="华文仿宋" w:eastAsia="华文仿宋" w:cs="华文仿宋"/>
          <w:color w:val="000000"/>
          <w:kern w:val="0"/>
          <w:sz w:val="32"/>
          <w:szCs w:val="32"/>
          <w:lang w:bidi="ar"/>
        </w:rPr>
        <w:t>：</w:t>
      </w:r>
    </w:p>
    <w:p>
      <w:pPr>
        <w:widowControl/>
        <w:spacing w:line="54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开展基层政务公开标准化规范化工作，是事关深化“放管服”改革、建设法治政府和服务型政府的重要基础工作。为落实《中华人民共和国政府信息公开条例》（国务院令第</w:t>
      </w:r>
    </w:p>
    <w:p>
      <w:pPr>
        <w:widowControl/>
        <w:spacing w:line="540" w:lineRule="exact"/>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711号）、《国务院办公厅关于印发开展基层政务公开标准化规范化试点工作方案的通知》（国办发〔2017〕42号）要求和全国政务公开领导小组第一次会议有关部署，有效推动</w:t>
      </w:r>
      <w:r>
        <w:rPr>
          <w:rFonts w:hint="eastAsia" w:ascii="华文仿宋" w:hAnsi="华文仿宋" w:eastAsia="华文仿宋" w:cs="华文仿宋"/>
          <w:color w:val="000000"/>
          <w:kern w:val="0"/>
          <w:sz w:val="32"/>
          <w:szCs w:val="32"/>
          <w:lang w:eastAsia="zh-CN" w:bidi="ar"/>
        </w:rPr>
        <w:t>公共资源交易</w:t>
      </w:r>
      <w:r>
        <w:rPr>
          <w:rFonts w:hint="eastAsia" w:ascii="华文仿宋" w:hAnsi="华文仿宋" w:eastAsia="华文仿宋" w:cs="华文仿宋"/>
          <w:color w:val="000000"/>
          <w:kern w:val="0"/>
          <w:sz w:val="32"/>
          <w:szCs w:val="32"/>
          <w:lang w:bidi="ar"/>
        </w:rPr>
        <w:t>领域基层政务公开标准化规范化工作，瀍河区发改委制定了《</w:t>
      </w:r>
      <w:r>
        <w:rPr>
          <w:rFonts w:hint="eastAsia" w:ascii="华文仿宋" w:hAnsi="华文仿宋" w:eastAsia="华文仿宋" w:cs="华文仿宋"/>
          <w:color w:val="000000"/>
          <w:kern w:val="0"/>
          <w:sz w:val="32"/>
          <w:szCs w:val="32"/>
          <w:lang w:eastAsia="zh-CN" w:bidi="ar"/>
        </w:rPr>
        <w:t>公共资源交易</w:t>
      </w:r>
      <w:r>
        <w:rPr>
          <w:rFonts w:hint="eastAsia" w:ascii="华文仿宋" w:hAnsi="华文仿宋" w:eastAsia="华文仿宋" w:cs="华文仿宋"/>
          <w:color w:val="000000"/>
          <w:kern w:val="0"/>
          <w:sz w:val="32"/>
          <w:szCs w:val="32"/>
          <w:lang w:bidi="ar"/>
        </w:rPr>
        <w:t>领域基层政务公开标准目录》，现印发你们，请结合实际贯彻落实，并就有关事项通知如下：</w:t>
      </w:r>
    </w:p>
    <w:p>
      <w:pPr>
        <w:widowControl/>
        <w:spacing w:line="54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bidi="ar"/>
        </w:rPr>
        <w:t>一、总体要求</w:t>
      </w:r>
    </w:p>
    <w:p>
      <w:pPr>
        <w:widowControl/>
        <w:spacing w:line="540" w:lineRule="exact"/>
        <w:ind w:firstLine="640" w:firstLineChars="200"/>
        <w:jc w:val="left"/>
        <w:rPr>
          <w:rFonts w:hint="eastAsia" w:ascii="华文仿宋" w:hAnsi="华文仿宋" w:eastAsia="华文仿宋" w:cs="华文仿宋"/>
          <w:color w:val="000000"/>
          <w:sz w:val="32"/>
          <w:szCs w:val="32"/>
        </w:rPr>
      </w:pPr>
      <w:r>
        <w:rPr>
          <w:rFonts w:hint="eastAsia" w:ascii="楷体" w:hAnsi="楷体" w:eastAsia="楷体" w:cs="楷体"/>
          <w:color w:val="000000"/>
          <w:kern w:val="0"/>
          <w:sz w:val="32"/>
          <w:szCs w:val="32"/>
          <w:lang w:bidi="ar"/>
        </w:rPr>
        <w:t>（一）指导思想</w:t>
      </w:r>
    </w:p>
    <w:p>
      <w:pPr>
        <w:widowControl/>
        <w:spacing w:line="54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全面贯彻落实党的十九大和十九届二中、三中全会精神,深入落实党中央、国务院关于全面推进政务公开的决策部署，按照建设法治政府、创新政府、廉洁政府和服务型政府的要求，积极适应新时代人民群众的新期待和新需求，以提升政务公开质量为主线，推进基层</w:t>
      </w:r>
      <w:r>
        <w:rPr>
          <w:rFonts w:hint="eastAsia" w:ascii="华文仿宋" w:hAnsi="华文仿宋" w:eastAsia="华文仿宋" w:cs="华文仿宋"/>
          <w:color w:val="000000"/>
          <w:kern w:val="0"/>
          <w:sz w:val="32"/>
          <w:szCs w:val="32"/>
          <w:lang w:eastAsia="zh-CN" w:bidi="ar"/>
        </w:rPr>
        <w:t>公共资源交易</w:t>
      </w:r>
      <w:r>
        <w:rPr>
          <w:rFonts w:hint="eastAsia" w:ascii="华文仿宋" w:hAnsi="华文仿宋" w:eastAsia="华文仿宋" w:cs="华文仿宋"/>
          <w:color w:val="000000"/>
          <w:kern w:val="0"/>
          <w:sz w:val="32"/>
          <w:szCs w:val="32"/>
          <w:lang w:bidi="ar"/>
        </w:rPr>
        <w:t>政务公开标准化规范化工作，通过深化公开促进政府职能转变，优化提升便民利企效能，有效维护政府良好形象和社会公信力，切实增强人民群众满意度、获得感。</w:t>
      </w:r>
    </w:p>
    <w:p>
      <w:pPr>
        <w:widowControl/>
        <w:spacing w:line="540" w:lineRule="exact"/>
        <w:ind w:firstLine="640" w:firstLineChars="200"/>
        <w:jc w:val="left"/>
        <w:rPr>
          <w:rFonts w:hint="eastAsia" w:ascii="华文仿宋" w:hAnsi="华文仿宋" w:eastAsia="华文仿宋" w:cs="华文仿宋"/>
          <w:color w:val="000000"/>
          <w:sz w:val="32"/>
          <w:szCs w:val="32"/>
        </w:rPr>
      </w:pPr>
      <w:r>
        <w:rPr>
          <w:rFonts w:hint="eastAsia" w:ascii="楷体" w:hAnsi="楷体" w:eastAsia="楷体" w:cs="楷体"/>
          <w:color w:val="000000"/>
          <w:kern w:val="0"/>
          <w:sz w:val="32"/>
          <w:szCs w:val="32"/>
          <w:lang w:bidi="ar"/>
        </w:rPr>
        <w:t>（二）工作目标。</w:t>
      </w:r>
    </w:p>
    <w:p>
      <w:pPr>
        <w:widowControl/>
        <w:spacing w:line="54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bidi="ar"/>
        </w:rPr>
        <w:t>适应新时代经济社会发展的新需求，紧紧围绕社会公众关切，进一步强化依法公开意识，规范政务公开平台管理，积极探索全系统政务公开的新路径、新形式和新方法,深入推进基层</w:t>
      </w:r>
      <w:r>
        <w:rPr>
          <w:rFonts w:hint="eastAsia" w:ascii="华文仿宋" w:hAnsi="华文仿宋" w:eastAsia="华文仿宋" w:cs="华文仿宋"/>
          <w:color w:val="000000"/>
          <w:kern w:val="0"/>
          <w:sz w:val="32"/>
          <w:szCs w:val="32"/>
          <w:lang w:eastAsia="zh-CN" w:bidi="ar"/>
        </w:rPr>
        <w:t>公共资源交易</w:t>
      </w:r>
      <w:r>
        <w:rPr>
          <w:rFonts w:hint="eastAsia" w:ascii="华文仿宋" w:hAnsi="华文仿宋" w:eastAsia="华文仿宋" w:cs="华文仿宋"/>
          <w:color w:val="000000"/>
          <w:kern w:val="0"/>
          <w:sz w:val="32"/>
          <w:szCs w:val="32"/>
          <w:lang w:bidi="ar"/>
        </w:rPr>
        <w:t>领域政务公开标准化规范化，加大主动公开、政策解读、政务舆情回应工作力度，不断增强公开实效，按时将全区</w:t>
      </w:r>
      <w:r>
        <w:rPr>
          <w:rFonts w:hint="eastAsia" w:ascii="华文仿宋" w:hAnsi="华文仿宋" w:eastAsia="华文仿宋" w:cs="华文仿宋"/>
          <w:color w:val="000000"/>
          <w:kern w:val="0"/>
          <w:sz w:val="32"/>
          <w:szCs w:val="32"/>
          <w:lang w:eastAsia="zh-CN" w:bidi="ar"/>
        </w:rPr>
        <w:t>公共资源交易</w:t>
      </w:r>
      <w:r>
        <w:rPr>
          <w:rFonts w:hint="eastAsia" w:ascii="华文仿宋" w:hAnsi="华文仿宋" w:eastAsia="华文仿宋" w:cs="华文仿宋"/>
          <w:color w:val="000000"/>
          <w:kern w:val="0"/>
          <w:sz w:val="32"/>
          <w:szCs w:val="32"/>
          <w:lang w:bidi="ar"/>
        </w:rPr>
        <w:t>公开。</w:t>
      </w:r>
    </w:p>
    <w:p>
      <w:pPr>
        <w:widowControl/>
        <w:spacing w:line="540" w:lineRule="exact"/>
        <w:ind w:firstLine="640" w:firstLineChars="200"/>
        <w:jc w:val="left"/>
        <w:rPr>
          <w:rFonts w:hint="eastAsia" w:ascii="华文仿宋" w:hAnsi="华文仿宋" w:eastAsia="华文仿宋" w:cs="华文仿宋"/>
          <w:color w:val="000000"/>
          <w:sz w:val="32"/>
          <w:szCs w:val="32"/>
        </w:rPr>
      </w:pPr>
      <w:r>
        <w:rPr>
          <w:rFonts w:hint="eastAsia" w:ascii="黑体" w:hAnsi="黑体" w:eastAsia="黑体" w:cs="黑体"/>
          <w:color w:val="000000"/>
          <w:kern w:val="0"/>
          <w:sz w:val="32"/>
          <w:szCs w:val="32"/>
          <w:lang w:bidi="ar"/>
        </w:rPr>
        <w:t>二、适用范围</w:t>
      </w:r>
    </w:p>
    <w:p>
      <w:pPr>
        <w:widowControl/>
        <w:spacing w:line="540" w:lineRule="exact"/>
        <w:ind w:firstLine="640" w:firstLineChars="200"/>
        <w:jc w:val="left"/>
        <w:rPr>
          <w:rFonts w:hint="eastAsia" w:ascii="华文仿宋" w:hAnsi="华文仿宋" w:eastAsia="华文仿宋" w:cs="华文仿宋"/>
          <w:color w:val="000000"/>
          <w:sz w:val="32"/>
          <w:szCs w:val="32"/>
          <w:lang w:eastAsia="zh-CN"/>
        </w:rPr>
      </w:pPr>
      <w:r>
        <w:rPr>
          <w:rFonts w:hint="eastAsia" w:ascii="华文仿宋" w:hAnsi="华文仿宋" w:eastAsia="华文仿宋" w:cs="华文仿宋"/>
          <w:color w:val="000000"/>
          <w:kern w:val="0"/>
          <w:sz w:val="32"/>
          <w:szCs w:val="32"/>
          <w:lang w:bidi="ar"/>
        </w:rPr>
        <w:t>本指引适用于</w:t>
      </w:r>
      <w:r>
        <w:rPr>
          <w:rFonts w:hint="eastAsia" w:ascii="华文仿宋" w:hAnsi="华文仿宋" w:eastAsia="华文仿宋" w:cs="华文仿宋"/>
          <w:color w:val="000000"/>
          <w:kern w:val="0"/>
          <w:sz w:val="32"/>
          <w:szCs w:val="32"/>
          <w:lang w:eastAsia="zh-CN" w:bidi="ar"/>
        </w:rPr>
        <w:t>公共资源交易</w:t>
      </w:r>
      <w:r>
        <w:rPr>
          <w:rFonts w:hint="eastAsia" w:ascii="华文仿宋" w:hAnsi="华文仿宋" w:eastAsia="华文仿宋" w:cs="华文仿宋"/>
          <w:color w:val="000000"/>
          <w:kern w:val="0"/>
          <w:sz w:val="32"/>
          <w:szCs w:val="32"/>
          <w:lang w:bidi="ar"/>
        </w:rPr>
        <w:t>领域。适用的主体范围包括</w:t>
      </w:r>
      <w:r>
        <w:rPr>
          <w:rFonts w:hint="eastAsia" w:ascii="华文仿宋" w:hAnsi="华文仿宋" w:eastAsia="华文仿宋" w:cs="华文仿宋"/>
          <w:color w:val="000000"/>
          <w:kern w:val="0"/>
          <w:sz w:val="32"/>
          <w:szCs w:val="32"/>
          <w:lang w:eastAsia="zh-CN" w:bidi="ar"/>
        </w:rPr>
        <w:t>委属</w:t>
      </w:r>
      <w:r>
        <w:rPr>
          <w:rFonts w:hint="eastAsia" w:ascii="华文仿宋" w:hAnsi="华文仿宋" w:eastAsia="华文仿宋" w:cs="华文仿宋"/>
          <w:color w:val="000000"/>
          <w:kern w:val="0"/>
          <w:sz w:val="32"/>
          <w:szCs w:val="32"/>
          <w:lang w:bidi="ar"/>
        </w:rPr>
        <w:t>各科室</w:t>
      </w:r>
      <w:r>
        <w:rPr>
          <w:rFonts w:hint="eastAsia" w:ascii="华文仿宋" w:hAnsi="华文仿宋" w:eastAsia="华文仿宋" w:cs="华文仿宋"/>
          <w:color w:val="000000"/>
          <w:kern w:val="0"/>
          <w:sz w:val="32"/>
          <w:szCs w:val="32"/>
          <w:lang w:eastAsia="zh-CN" w:bidi="ar"/>
        </w:rPr>
        <w:t>、经济运行中心、价格认证中心。</w:t>
      </w:r>
    </w:p>
    <w:p>
      <w:pPr>
        <w:widowControl/>
        <w:spacing w:line="540" w:lineRule="exact"/>
        <w:ind w:firstLine="640" w:firstLineChars="200"/>
        <w:jc w:val="left"/>
        <w:rPr>
          <w:rFonts w:hint="eastAsia" w:ascii="华文仿宋" w:hAnsi="华文仿宋" w:eastAsia="华文仿宋" w:cs="华文仿宋"/>
          <w:color w:val="000000"/>
          <w:sz w:val="32"/>
          <w:szCs w:val="32"/>
        </w:rPr>
      </w:pPr>
      <w:r>
        <w:rPr>
          <w:rFonts w:hint="eastAsia" w:ascii="黑体" w:hAnsi="黑体" w:eastAsia="黑体" w:cs="黑体"/>
          <w:color w:val="000000"/>
          <w:kern w:val="0"/>
          <w:sz w:val="32"/>
          <w:szCs w:val="32"/>
          <w:lang w:bidi="ar"/>
        </w:rPr>
        <w:t>三、公开事项与标准目录</w:t>
      </w:r>
    </w:p>
    <w:p>
      <w:pPr>
        <w:widowControl/>
        <w:spacing w:line="540" w:lineRule="exact"/>
        <w:ind w:firstLine="640" w:firstLineChars="200"/>
        <w:jc w:val="left"/>
        <w:rPr>
          <w:rFonts w:hint="eastAsia" w:ascii="华文仿宋" w:hAnsi="华文仿宋" w:eastAsia="华文仿宋" w:cs="华文仿宋"/>
          <w:color w:val="000000"/>
          <w:sz w:val="32"/>
          <w:szCs w:val="32"/>
        </w:rPr>
      </w:pPr>
      <w:r>
        <w:rPr>
          <w:rFonts w:hint="eastAsia" w:ascii="华文仿宋" w:hAnsi="华文仿宋" w:eastAsia="华文仿宋" w:cs="华文仿宋"/>
          <w:color w:val="000000"/>
          <w:kern w:val="0"/>
          <w:sz w:val="32"/>
          <w:szCs w:val="32"/>
          <w:lang w:eastAsia="zh-CN" w:bidi="ar"/>
        </w:rPr>
        <w:t>公共资源交易</w:t>
      </w:r>
      <w:r>
        <w:rPr>
          <w:rFonts w:hint="eastAsia" w:ascii="华文仿宋" w:hAnsi="华文仿宋" w:eastAsia="华文仿宋" w:cs="华文仿宋"/>
          <w:color w:val="000000"/>
          <w:kern w:val="0"/>
          <w:sz w:val="32"/>
          <w:szCs w:val="32"/>
          <w:lang w:bidi="ar"/>
        </w:rPr>
        <w:t>领域基层政务公开标准目录围绕</w:t>
      </w:r>
      <w:r>
        <w:rPr>
          <w:rFonts w:hint="eastAsia" w:ascii="华文仿宋" w:hAnsi="华文仿宋" w:eastAsia="华文仿宋" w:cs="华文仿宋"/>
          <w:color w:val="000000"/>
          <w:kern w:val="0"/>
          <w:sz w:val="32"/>
          <w:szCs w:val="32"/>
          <w:lang w:val="en-US" w:eastAsia="zh-CN" w:bidi="ar"/>
        </w:rPr>
        <w:t>5</w:t>
      </w:r>
      <w:r>
        <w:rPr>
          <w:rFonts w:hint="eastAsia" w:ascii="华文仿宋" w:hAnsi="华文仿宋" w:eastAsia="华文仿宋" w:cs="华文仿宋"/>
          <w:color w:val="000000"/>
          <w:kern w:val="0"/>
          <w:sz w:val="32"/>
          <w:szCs w:val="32"/>
          <w:lang w:bidi="ar"/>
        </w:rPr>
        <w:t>项一级公开事项进行编制，其中二级公开事项共</w:t>
      </w:r>
      <w:r>
        <w:rPr>
          <w:rFonts w:hint="eastAsia" w:ascii="华文仿宋" w:hAnsi="华文仿宋" w:eastAsia="华文仿宋" w:cs="华文仿宋"/>
          <w:color w:val="000000"/>
          <w:kern w:val="0"/>
          <w:sz w:val="32"/>
          <w:szCs w:val="32"/>
          <w:lang w:val="en-US" w:eastAsia="zh-CN" w:bidi="ar"/>
        </w:rPr>
        <w:t>40</w:t>
      </w:r>
      <w:r>
        <w:rPr>
          <w:rFonts w:hint="eastAsia" w:ascii="华文仿宋" w:hAnsi="华文仿宋" w:eastAsia="华文仿宋" w:cs="华文仿宋"/>
          <w:color w:val="000000"/>
          <w:kern w:val="0"/>
          <w:sz w:val="32"/>
          <w:szCs w:val="32"/>
          <w:lang w:bidi="ar"/>
        </w:rPr>
        <w:t>项。</w:t>
      </w:r>
    </w:p>
    <w:p>
      <w:pPr>
        <w:widowControl/>
        <w:spacing w:line="540" w:lineRule="exact"/>
        <w:ind w:firstLine="640" w:firstLineChars="200"/>
        <w:jc w:val="left"/>
        <w:rPr>
          <w:rFonts w:hint="eastAsia" w:ascii="黑体" w:hAnsi="黑体" w:eastAsia="黑体" w:cs="黑体"/>
          <w:color w:val="000000"/>
          <w:kern w:val="0"/>
          <w:sz w:val="32"/>
          <w:szCs w:val="32"/>
          <w:lang w:bidi="ar"/>
        </w:rPr>
      </w:pPr>
      <w:r>
        <w:rPr>
          <w:rFonts w:hint="eastAsia" w:ascii="黑体" w:hAnsi="黑体" w:eastAsia="黑体" w:cs="黑体"/>
          <w:color w:val="000000"/>
          <w:kern w:val="0"/>
          <w:sz w:val="32"/>
          <w:szCs w:val="32"/>
          <w:lang w:eastAsia="zh-CN" w:bidi="ar"/>
        </w:rPr>
        <w:t>四</w:t>
      </w:r>
      <w:r>
        <w:rPr>
          <w:rFonts w:hint="eastAsia" w:ascii="黑体" w:hAnsi="黑体" w:eastAsia="黑体" w:cs="黑体"/>
          <w:color w:val="000000"/>
          <w:kern w:val="0"/>
          <w:sz w:val="32"/>
          <w:szCs w:val="32"/>
          <w:lang w:bidi="ar"/>
        </w:rPr>
        <w:t>、流程规范</w:t>
      </w:r>
    </w:p>
    <w:p>
      <w:pPr>
        <w:widowControl/>
        <w:spacing w:line="540" w:lineRule="exact"/>
        <w:ind w:firstLine="640" w:firstLineChars="200"/>
        <w:jc w:val="left"/>
        <w:rPr>
          <w:rFonts w:hint="eastAsia"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bidi="ar"/>
        </w:rPr>
        <w:t>要切实加强</w:t>
      </w:r>
      <w:r>
        <w:rPr>
          <w:rFonts w:hint="eastAsia" w:ascii="华文仿宋" w:hAnsi="华文仿宋" w:eastAsia="华文仿宋" w:cs="华文仿宋"/>
          <w:color w:val="000000"/>
          <w:kern w:val="0"/>
          <w:sz w:val="32"/>
          <w:szCs w:val="32"/>
          <w:lang w:eastAsia="zh-CN" w:bidi="ar"/>
        </w:rPr>
        <w:t>公共资源交易</w:t>
      </w:r>
      <w:r>
        <w:rPr>
          <w:rFonts w:hint="eastAsia" w:ascii="华文仿宋" w:hAnsi="华文仿宋" w:eastAsia="华文仿宋" w:cs="华文仿宋"/>
          <w:color w:val="000000"/>
          <w:kern w:val="0"/>
          <w:sz w:val="32"/>
          <w:szCs w:val="32"/>
          <w:lang w:bidi="ar"/>
        </w:rPr>
        <w:t>领域基层政务公开工作，全面推进决策公开、执行公开、管理公开、服务公开、结果公开，最大限度方便企业和群众办事，打通</w:t>
      </w:r>
      <w:r>
        <w:rPr>
          <w:rFonts w:hint="eastAsia" w:ascii="华文仿宋" w:hAnsi="华文仿宋" w:eastAsia="华文仿宋" w:cs="华文仿宋"/>
          <w:color w:val="000000"/>
          <w:kern w:val="0"/>
          <w:sz w:val="32"/>
          <w:szCs w:val="32"/>
          <w:lang w:eastAsia="zh-CN" w:bidi="ar"/>
        </w:rPr>
        <w:t>委各科室</w:t>
      </w:r>
      <w:r>
        <w:rPr>
          <w:rFonts w:hint="eastAsia" w:ascii="华文仿宋" w:hAnsi="华文仿宋" w:eastAsia="华文仿宋" w:cs="华文仿宋"/>
          <w:color w:val="000000"/>
          <w:kern w:val="0"/>
          <w:sz w:val="32"/>
          <w:szCs w:val="32"/>
          <w:lang w:bidi="ar"/>
        </w:rPr>
        <w:t>服务人民群众的“最后一公里”。</w:t>
      </w:r>
    </w:p>
    <w:p>
      <w:pPr>
        <w:widowControl/>
        <w:spacing w:line="540" w:lineRule="exact"/>
        <w:ind w:firstLine="640" w:firstLineChars="200"/>
        <w:jc w:val="left"/>
        <w:rPr>
          <w:rFonts w:hint="eastAsia"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eastAsia="zh-CN" w:bidi="ar"/>
        </w:rPr>
        <w:t>委属</w:t>
      </w:r>
      <w:r>
        <w:rPr>
          <w:rFonts w:hint="eastAsia" w:ascii="华文仿宋" w:hAnsi="华文仿宋" w:eastAsia="华文仿宋" w:cs="华文仿宋"/>
          <w:color w:val="000000"/>
          <w:kern w:val="0"/>
          <w:sz w:val="32"/>
          <w:szCs w:val="32"/>
          <w:lang w:bidi="ar"/>
        </w:rPr>
        <w:t>各科室</w:t>
      </w:r>
      <w:r>
        <w:rPr>
          <w:rFonts w:hint="eastAsia" w:ascii="华文仿宋" w:hAnsi="华文仿宋" w:eastAsia="华文仿宋" w:cs="华文仿宋"/>
          <w:color w:val="000000"/>
          <w:kern w:val="0"/>
          <w:sz w:val="32"/>
          <w:szCs w:val="32"/>
          <w:lang w:eastAsia="zh-CN" w:bidi="ar"/>
        </w:rPr>
        <w:t>、经济运行中心、价格认证中心</w:t>
      </w:r>
      <w:r>
        <w:rPr>
          <w:rFonts w:hint="eastAsia" w:ascii="华文仿宋" w:hAnsi="华文仿宋" w:eastAsia="华文仿宋" w:cs="华文仿宋"/>
          <w:color w:val="000000"/>
          <w:kern w:val="0"/>
          <w:sz w:val="32"/>
          <w:szCs w:val="32"/>
          <w:lang w:bidi="ar"/>
        </w:rPr>
        <w:t>要按照《国务院办公厅关于全面推进政务公开工作的意见的实施细则》(国办发〔2016〕80号)规定，按照“五公开”工作要求，加强</w:t>
      </w:r>
      <w:r>
        <w:rPr>
          <w:rFonts w:hint="eastAsia" w:ascii="华文仿宋" w:hAnsi="华文仿宋" w:eastAsia="华文仿宋" w:cs="华文仿宋"/>
          <w:color w:val="000000"/>
          <w:kern w:val="0"/>
          <w:sz w:val="32"/>
          <w:szCs w:val="32"/>
          <w:lang w:eastAsia="zh-CN" w:bidi="ar"/>
        </w:rPr>
        <w:t>公共资源交易</w:t>
      </w:r>
      <w:r>
        <w:rPr>
          <w:rFonts w:hint="eastAsia" w:ascii="华文仿宋" w:hAnsi="华文仿宋" w:eastAsia="华文仿宋" w:cs="华文仿宋"/>
          <w:color w:val="000000"/>
          <w:kern w:val="0"/>
          <w:sz w:val="32"/>
          <w:szCs w:val="32"/>
          <w:lang w:bidi="ar"/>
        </w:rPr>
        <w:t>领域公开属性源头管理、主动公开、政策解读、回应关切、公众参与等工作，推动发布、解读、回应有序衔接。</w:t>
      </w:r>
    </w:p>
    <w:p>
      <w:pPr>
        <w:widowControl/>
        <w:spacing w:line="540" w:lineRule="exact"/>
        <w:ind w:firstLine="640" w:firstLineChars="200"/>
        <w:jc w:val="left"/>
        <w:rPr>
          <w:rFonts w:hint="eastAsia"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eastAsia="zh-CN" w:bidi="ar"/>
        </w:rPr>
        <w:t>公共资源交易</w:t>
      </w:r>
      <w:r>
        <w:rPr>
          <w:rFonts w:hint="eastAsia" w:ascii="华文仿宋" w:hAnsi="华文仿宋" w:eastAsia="华文仿宋" w:cs="华文仿宋"/>
          <w:color w:val="000000"/>
          <w:kern w:val="0"/>
          <w:sz w:val="32"/>
          <w:szCs w:val="32"/>
          <w:lang w:bidi="ar"/>
        </w:rPr>
        <w:t>的公共法律服务领域基层政务公开标准目录，应明确公开的事项、内容、依据、时限、主体、渠道和载体、对象、方式、层级等，并动态更新，严格执行。</w:t>
      </w:r>
    </w:p>
    <w:p>
      <w:pPr>
        <w:widowControl/>
        <w:spacing w:line="540" w:lineRule="exact"/>
        <w:ind w:firstLine="640" w:firstLineChars="200"/>
        <w:jc w:val="left"/>
        <w:rPr>
          <w:rFonts w:hint="eastAsia"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bidi="ar"/>
        </w:rPr>
        <w:t>瀍河区</w:t>
      </w:r>
      <w:r>
        <w:rPr>
          <w:rFonts w:hint="eastAsia" w:ascii="华文仿宋" w:hAnsi="华文仿宋" w:eastAsia="华文仿宋" w:cs="华文仿宋"/>
          <w:color w:val="000000"/>
          <w:kern w:val="0"/>
          <w:sz w:val="32"/>
          <w:szCs w:val="32"/>
          <w:lang w:eastAsia="zh-CN" w:bidi="ar"/>
        </w:rPr>
        <w:t>发改委</w:t>
      </w:r>
      <w:r>
        <w:rPr>
          <w:rFonts w:hint="eastAsia" w:ascii="华文仿宋" w:hAnsi="华文仿宋" w:eastAsia="华文仿宋" w:cs="华文仿宋"/>
          <w:color w:val="000000"/>
          <w:kern w:val="0"/>
          <w:sz w:val="32"/>
          <w:szCs w:val="32"/>
          <w:lang w:bidi="ar"/>
        </w:rPr>
        <w:t>会高度重视，加强对</w:t>
      </w:r>
      <w:r>
        <w:rPr>
          <w:rFonts w:hint="eastAsia" w:ascii="华文仿宋" w:hAnsi="华文仿宋" w:eastAsia="华文仿宋" w:cs="华文仿宋"/>
          <w:color w:val="000000"/>
          <w:kern w:val="0"/>
          <w:sz w:val="32"/>
          <w:szCs w:val="32"/>
          <w:lang w:eastAsia="zh-CN" w:bidi="ar"/>
        </w:rPr>
        <w:t>公共资源交易</w:t>
      </w:r>
      <w:r>
        <w:rPr>
          <w:rFonts w:hint="eastAsia" w:ascii="华文仿宋" w:hAnsi="华文仿宋" w:eastAsia="华文仿宋" w:cs="华文仿宋"/>
          <w:color w:val="000000"/>
          <w:kern w:val="0"/>
          <w:sz w:val="32"/>
          <w:szCs w:val="32"/>
          <w:lang w:bidi="ar"/>
        </w:rPr>
        <w:t>领域政务公开工作的领导、指导和支持，强化监督、评估，确保取得实效。</w:t>
      </w:r>
    </w:p>
    <w:p>
      <w:pPr>
        <w:widowControl/>
        <w:spacing w:line="540" w:lineRule="exact"/>
        <w:ind w:firstLine="640" w:firstLineChars="200"/>
        <w:jc w:val="left"/>
        <w:rPr>
          <w:rFonts w:hint="eastAsia"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bidi="ar"/>
        </w:rPr>
        <w:t>贯彻执行过程中遇到的情况和问题，请及时报区</w:t>
      </w:r>
      <w:r>
        <w:rPr>
          <w:rFonts w:hint="eastAsia" w:ascii="华文仿宋" w:hAnsi="华文仿宋" w:eastAsia="华文仿宋" w:cs="华文仿宋"/>
          <w:color w:val="000000"/>
          <w:kern w:val="0"/>
          <w:sz w:val="32"/>
          <w:szCs w:val="32"/>
          <w:lang w:eastAsia="zh-CN" w:bidi="ar"/>
        </w:rPr>
        <w:t>发改委</w:t>
      </w:r>
      <w:r>
        <w:rPr>
          <w:rFonts w:hint="eastAsia" w:ascii="华文仿宋" w:hAnsi="华文仿宋" w:eastAsia="华文仿宋" w:cs="华文仿宋"/>
          <w:color w:val="000000"/>
          <w:kern w:val="0"/>
          <w:sz w:val="32"/>
          <w:szCs w:val="32"/>
          <w:lang w:bidi="ar"/>
        </w:rPr>
        <w:t>。</w:t>
      </w:r>
    </w:p>
    <w:p>
      <w:pPr>
        <w:widowControl/>
        <w:spacing w:line="540" w:lineRule="exact"/>
        <w:ind w:firstLine="640" w:firstLineChars="200"/>
        <w:jc w:val="left"/>
        <w:rPr>
          <w:rFonts w:hint="eastAsia" w:ascii="华文仿宋" w:hAnsi="华文仿宋" w:eastAsia="华文仿宋" w:cs="华文仿宋"/>
          <w:color w:val="000000"/>
          <w:kern w:val="0"/>
          <w:sz w:val="32"/>
          <w:szCs w:val="32"/>
          <w:u w:val="single"/>
          <w:lang w:bidi="ar"/>
        </w:rPr>
      </w:pPr>
    </w:p>
    <w:p>
      <w:pPr>
        <w:widowControl/>
        <w:spacing w:line="540" w:lineRule="exact"/>
        <w:ind w:firstLine="640" w:firstLineChars="200"/>
        <w:jc w:val="left"/>
        <w:rPr>
          <w:rFonts w:hint="eastAsia" w:ascii="华文仿宋" w:hAnsi="华文仿宋" w:eastAsia="华文仿宋" w:cs="华文仿宋"/>
          <w:color w:val="000000"/>
          <w:kern w:val="0"/>
          <w:sz w:val="32"/>
          <w:szCs w:val="32"/>
          <w:u w:val="single"/>
          <w:lang w:bidi="ar"/>
        </w:rPr>
      </w:pPr>
    </w:p>
    <w:p>
      <w:pPr>
        <w:widowControl/>
        <w:spacing w:line="540" w:lineRule="exact"/>
        <w:jc w:val="left"/>
        <w:rPr>
          <w:rFonts w:hint="eastAsia"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bidi="ar"/>
        </w:rPr>
        <w:t>附件：</w:t>
      </w:r>
      <w:r>
        <w:rPr>
          <w:rFonts w:hint="eastAsia" w:ascii="华文仿宋" w:hAnsi="华文仿宋" w:eastAsia="华文仿宋" w:cs="华文仿宋"/>
          <w:color w:val="000000"/>
          <w:kern w:val="0"/>
          <w:sz w:val="32"/>
          <w:szCs w:val="32"/>
          <w:lang w:eastAsia="zh-CN" w:bidi="ar"/>
        </w:rPr>
        <w:t>公共资源交易</w:t>
      </w:r>
      <w:r>
        <w:rPr>
          <w:rFonts w:hint="eastAsia" w:ascii="华文仿宋" w:hAnsi="华文仿宋" w:eastAsia="华文仿宋" w:cs="华文仿宋"/>
          <w:color w:val="000000"/>
          <w:kern w:val="0"/>
          <w:sz w:val="32"/>
          <w:szCs w:val="32"/>
          <w:lang w:bidi="ar"/>
        </w:rPr>
        <w:t>领域基层政务公开标准目录</w:t>
      </w:r>
    </w:p>
    <w:p>
      <w:pPr>
        <w:widowControl/>
        <w:spacing w:line="540" w:lineRule="exact"/>
        <w:ind w:firstLine="5440" w:firstLineChars="1700"/>
        <w:jc w:val="left"/>
        <w:rPr>
          <w:rFonts w:hint="eastAsia" w:ascii="华文仿宋" w:hAnsi="华文仿宋" w:eastAsia="华文仿宋" w:cs="华文仿宋"/>
          <w:color w:val="000000"/>
          <w:kern w:val="0"/>
          <w:sz w:val="32"/>
          <w:szCs w:val="32"/>
          <w:u w:val="single"/>
          <w:lang w:bidi="ar"/>
        </w:rPr>
      </w:pPr>
    </w:p>
    <w:p>
      <w:pPr>
        <w:widowControl/>
        <w:spacing w:line="540" w:lineRule="exact"/>
        <w:ind w:firstLine="5440" w:firstLineChars="1700"/>
        <w:jc w:val="left"/>
        <w:rPr>
          <w:rFonts w:hint="eastAsia" w:ascii="华文仿宋" w:hAnsi="华文仿宋" w:eastAsia="华文仿宋" w:cs="华文仿宋"/>
          <w:color w:val="000000"/>
          <w:kern w:val="0"/>
          <w:sz w:val="32"/>
          <w:szCs w:val="32"/>
          <w:u w:val="single"/>
          <w:lang w:bidi="ar"/>
        </w:rPr>
      </w:pPr>
    </w:p>
    <w:p>
      <w:pPr>
        <w:widowControl/>
        <w:spacing w:line="540" w:lineRule="exact"/>
        <w:ind w:firstLine="5440" w:firstLineChars="1700"/>
        <w:jc w:val="left"/>
        <w:rPr>
          <w:rFonts w:hint="eastAsia" w:ascii="华文仿宋" w:hAnsi="华文仿宋" w:eastAsia="华文仿宋" w:cs="华文仿宋"/>
          <w:color w:val="000000"/>
          <w:kern w:val="0"/>
          <w:sz w:val="32"/>
          <w:szCs w:val="32"/>
          <w:u w:val="single"/>
          <w:lang w:bidi="ar"/>
        </w:rPr>
      </w:pPr>
    </w:p>
    <w:p>
      <w:pPr>
        <w:widowControl/>
        <w:spacing w:line="540" w:lineRule="exact"/>
        <w:ind w:firstLine="5440" w:firstLineChars="1700"/>
        <w:jc w:val="left"/>
        <w:rPr>
          <w:rFonts w:hint="eastAsia" w:ascii="华文仿宋" w:hAnsi="华文仿宋" w:eastAsia="华文仿宋" w:cs="华文仿宋"/>
          <w:color w:val="000000"/>
          <w:kern w:val="0"/>
          <w:sz w:val="32"/>
          <w:szCs w:val="32"/>
          <w:lang w:bidi="ar"/>
        </w:rPr>
      </w:pPr>
      <w:r>
        <w:rPr>
          <w:rFonts w:hint="eastAsia" w:ascii="华文仿宋" w:hAnsi="华文仿宋" w:eastAsia="华文仿宋" w:cs="华文仿宋"/>
          <w:color w:val="000000"/>
          <w:kern w:val="0"/>
          <w:sz w:val="32"/>
          <w:szCs w:val="32"/>
          <w:lang w:bidi="ar"/>
        </w:rPr>
        <w:t>2020年9月1</w:t>
      </w:r>
      <w:r>
        <w:rPr>
          <w:rFonts w:hint="eastAsia" w:ascii="华文仿宋" w:hAnsi="华文仿宋" w:eastAsia="华文仿宋" w:cs="华文仿宋"/>
          <w:color w:val="000000"/>
          <w:kern w:val="0"/>
          <w:sz w:val="32"/>
          <w:szCs w:val="32"/>
          <w:lang w:val="en-US" w:eastAsia="zh-CN" w:bidi="ar"/>
        </w:rPr>
        <w:t>3</w:t>
      </w:r>
      <w:r>
        <w:rPr>
          <w:rFonts w:hint="eastAsia" w:ascii="华文仿宋" w:hAnsi="华文仿宋" w:eastAsia="华文仿宋" w:cs="华文仿宋"/>
          <w:color w:val="000000"/>
          <w:kern w:val="0"/>
          <w:sz w:val="32"/>
          <w:szCs w:val="32"/>
          <w:lang w:bidi="ar"/>
        </w:rPr>
        <w:t>日</w:t>
      </w:r>
    </w:p>
    <w:p>
      <w:pPr>
        <w:spacing w:line="440" w:lineRule="exact"/>
        <w:rPr>
          <w:rFonts w:hint="eastAsia" w:ascii="宋体" w:hAnsi="宋体"/>
          <w:sz w:val="32"/>
          <w:szCs w:val="32"/>
        </w:rPr>
      </w:pPr>
    </w:p>
    <w:p>
      <w:pPr>
        <w:spacing w:line="440" w:lineRule="exact"/>
        <w:rPr>
          <w:rFonts w:hint="eastAsia" w:ascii="宋体" w:hAnsi="宋体"/>
          <w:sz w:val="32"/>
          <w:szCs w:val="32"/>
        </w:rPr>
      </w:pPr>
    </w:p>
    <w:p>
      <w:pPr>
        <w:spacing w:line="440" w:lineRule="exact"/>
        <w:rPr>
          <w:rFonts w:hint="eastAsia" w:ascii="宋体" w:hAnsi="宋体"/>
          <w:sz w:val="32"/>
          <w:szCs w:val="32"/>
        </w:rPr>
      </w:pPr>
    </w:p>
    <w:p>
      <w:pPr>
        <w:spacing w:line="440" w:lineRule="exact"/>
        <w:rPr>
          <w:rFonts w:hint="eastAsia" w:ascii="宋体" w:hAnsi="宋体"/>
          <w:sz w:val="32"/>
          <w:szCs w:val="32"/>
        </w:rPr>
      </w:pPr>
    </w:p>
    <w:p>
      <w:pPr>
        <w:spacing w:line="440" w:lineRule="exact"/>
        <w:rPr>
          <w:rFonts w:hint="eastAsia" w:ascii="宋体" w:hAnsi="宋体"/>
          <w:sz w:val="32"/>
          <w:szCs w:val="32"/>
        </w:rPr>
      </w:pPr>
    </w:p>
    <w:p>
      <w:pPr>
        <w:spacing w:line="440" w:lineRule="exact"/>
        <w:rPr>
          <w:rFonts w:hint="eastAsia" w:ascii="宋体" w:hAnsi="宋体"/>
          <w:sz w:val="32"/>
          <w:szCs w:val="32"/>
        </w:rPr>
      </w:pPr>
    </w:p>
    <w:p>
      <w:pPr>
        <w:pStyle w:val="2"/>
        <w:rPr>
          <w:rFonts w:hint="eastAsia" w:ascii="宋体" w:hAnsi="宋体"/>
          <w:sz w:val="32"/>
          <w:szCs w:val="32"/>
        </w:rPr>
      </w:pPr>
    </w:p>
    <w:p>
      <w:pPr>
        <w:pStyle w:val="2"/>
        <w:rPr>
          <w:rFonts w:hint="eastAsia" w:ascii="宋体" w:hAnsi="宋体"/>
          <w:sz w:val="32"/>
          <w:szCs w:val="32"/>
        </w:rPr>
      </w:pPr>
    </w:p>
    <w:p>
      <w:pPr>
        <w:pStyle w:val="2"/>
        <w:rPr>
          <w:rFonts w:hint="eastAsia" w:ascii="宋体" w:hAnsi="宋体"/>
          <w:sz w:val="32"/>
          <w:szCs w:val="32"/>
        </w:rPr>
      </w:pPr>
    </w:p>
    <w:p>
      <w:pPr>
        <w:pStyle w:val="2"/>
        <w:rPr>
          <w:rFonts w:hint="eastAsia" w:ascii="宋体" w:hAnsi="宋体"/>
          <w:sz w:val="32"/>
          <w:szCs w:val="32"/>
        </w:rPr>
      </w:pPr>
    </w:p>
    <w:p>
      <w:pPr>
        <w:pStyle w:val="2"/>
        <w:rPr>
          <w:rFonts w:hint="eastAsia" w:ascii="宋体" w:hAnsi="宋体"/>
          <w:sz w:val="32"/>
          <w:szCs w:val="32"/>
        </w:rPr>
      </w:pPr>
    </w:p>
    <w:p>
      <w:pPr>
        <w:pStyle w:val="2"/>
        <w:rPr>
          <w:rFonts w:hint="eastAsia" w:ascii="宋体" w:hAnsi="宋体"/>
          <w:sz w:val="32"/>
          <w:szCs w:val="32"/>
        </w:rPr>
      </w:pPr>
    </w:p>
    <w:p>
      <w:pPr>
        <w:pStyle w:val="2"/>
        <w:rPr>
          <w:rFonts w:hint="eastAsia" w:ascii="宋体" w:hAnsi="宋体"/>
          <w:sz w:val="32"/>
          <w:szCs w:val="32"/>
        </w:rPr>
      </w:pPr>
    </w:p>
    <w:p>
      <w:pPr>
        <w:pStyle w:val="2"/>
        <w:rPr>
          <w:rFonts w:hint="eastAsia" w:ascii="宋体" w:hAnsi="宋体"/>
          <w:sz w:val="32"/>
          <w:szCs w:val="32"/>
        </w:rPr>
      </w:pPr>
    </w:p>
    <w:p>
      <w:pPr>
        <w:pStyle w:val="2"/>
        <w:rPr>
          <w:rFonts w:hint="eastAsia" w:ascii="宋体" w:hAnsi="宋体"/>
          <w:sz w:val="32"/>
          <w:szCs w:val="32"/>
        </w:rPr>
      </w:pPr>
    </w:p>
    <w:p>
      <w:pPr>
        <w:pStyle w:val="2"/>
        <w:rPr>
          <w:rFonts w:hint="eastAsia" w:ascii="宋体" w:hAnsi="宋体"/>
          <w:sz w:val="32"/>
          <w:szCs w:val="32"/>
        </w:rPr>
      </w:pPr>
    </w:p>
    <w:p>
      <w:pPr>
        <w:pStyle w:val="2"/>
        <w:rPr>
          <w:rFonts w:hint="eastAsia" w:ascii="宋体" w:hAnsi="宋体"/>
          <w:sz w:val="32"/>
          <w:szCs w:val="32"/>
        </w:rPr>
      </w:pPr>
    </w:p>
    <w:p>
      <w:pPr>
        <w:pStyle w:val="2"/>
        <w:rPr>
          <w:rFonts w:hint="eastAsia" w:ascii="宋体" w:hAnsi="宋体"/>
          <w:sz w:val="32"/>
          <w:szCs w:val="32"/>
        </w:rPr>
      </w:pPr>
    </w:p>
    <w:p>
      <w:pPr>
        <w:pStyle w:val="2"/>
        <w:rPr>
          <w:rFonts w:hint="eastAsia" w:ascii="宋体" w:hAnsi="宋体"/>
          <w:sz w:val="32"/>
          <w:szCs w:val="32"/>
        </w:rPr>
      </w:pPr>
      <w:bookmarkStart w:id="0" w:name="_GoBack"/>
      <w:bookmarkEnd w:id="0"/>
    </w:p>
    <w:p>
      <w:pPr>
        <w:spacing w:line="440" w:lineRule="exact"/>
        <w:rPr>
          <w:rFonts w:hint="eastAsia" w:ascii="宋体" w:hAnsi="宋体"/>
          <w:sz w:val="32"/>
          <w:szCs w:val="32"/>
        </w:rPr>
      </w:pPr>
    </w:p>
    <w:p>
      <w:pPr>
        <w:spacing w:line="440" w:lineRule="exact"/>
        <w:rPr>
          <w:rFonts w:hint="eastAsia" w:ascii="宋体" w:hAnsi="宋体"/>
          <w:sz w:val="32"/>
          <w:szCs w:val="32"/>
        </w:rPr>
      </w:pPr>
    </w:p>
    <w:p>
      <w:pPr>
        <w:spacing w:line="440" w:lineRule="exact"/>
        <w:rPr>
          <w:rFonts w:hint="eastAsia" w:ascii="宋体" w:hAnsi="宋体"/>
          <w:sz w:val="32"/>
          <w:szCs w:val="32"/>
        </w:rPr>
      </w:pPr>
      <w:r>
        <w:rPr>
          <w:rFonts w:hint="eastAsia" w:ascii="黑体" w:eastAsia="黑体"/>
          <w:b/>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281940</wp:posOffset>
                </wp:positionV>
                <wp:extent cx="5486400" cy="0"/>
                <wp:effectExtent l="0" t="9525" r="0" b="9525"/>
                <wp:wrapNone/>
                <wp:docPr id="2" name="直接连接符 2"/>
                <wp:cNvGraphicFramePr/>
                <a:graphic xmlns:a="http://schemas.openxmlformats.org/drawingml/2006/main">
                  <a:graphicData uri="http://schemas.microsoft.com/office/word/2010/wordprocessingShape">
                    <wps:wsp>
                      <wps:cNvCnPr/>
                      <wps:spPr>
                        <a:xfrm>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2.2pt;height:0pt;width:432pt;z-index:251658240;mso-width-relative:page;mso-height-relative:page;" filled="f" stroked="t" coordsize="21600,21600" o:gfxdata="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3x95HSAAAABgEAAA8AAAAAAAAAAQAg&#10;AAAAIgAAAGRycy9kb3ducmV2LnhtbFBLAQIUABQAAAAIAIdO4kDN9oAS2wEAAJcDAAAOAAAAAAAA&#10;AAEAIAAAACEBAABkcnMvZTJvRG9jLnhtbFBLBQYAAAAABgAGAFkBAABuBQAAAAA=&#10;">
                <v:fill on="f" focussize="0,0"/>
                <v:stroke weight="1.5pt" color="#000000" joinstyle="round"/>
                <v:imagedata o:title=""/>
                <o:lock v:ext="edit" aspectratio="f"/>
              </v:line>
            </w:pict>
          </mc:Fallback>
        </mc:AlternateContent>
      </w:r>
    </w:p>
    <w:p>
      <w:pPr>
        <w:spacing w:line="440" w:lineRule="exact"/>
        <w:ind w:firstLine="320" w:firstLineChars="100"/>
      </w:pPr>
      <w:r>
        <w:rPr>
          <w:rFonts w:hint="eastAsia"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299720</wp:posOffset>
                </wp:positionV>
                <wp:extent cx="5486400" cy="0"/>
                <wp:effectExtent l="0" t="9525" r="0" b="9525"/>
                <wp:wrapNone/>
                <wp:docPr id="1" name="直接连接符 1"/>
                <wp:cNvGraphicFramePr/>
                <a:graphic xmlns:a="http://schemas.openxmlformats.org/drawingml/2006/main">
                  <a:graphicData uri="http://schemas.microsoft.com/office/word/2010/wordprocessingShape">
                    <wps:wsp>
                      <wps:cNvCnPr/>
                      <wps:spPr>
                        <a:xfrm flipH="1">
                          <a:off x="0" y="0"/>
                          <a:ext cx="5486400" cy="0"/>
                        </a:xfrm>
                        <a:prstGeom prst="line">
                          <a:avLst/>
                        </a:prstGeom>
                        <a:ln w="190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0pt;margin-top:23.6pt;height:0pt;width:432pt;z-index:251659264;mso-width-relative:page;mso-height-relative:page;" filled="f" stroked="t" coordsize="21600,21600" o:gfxdata="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IeYev0wAAAAYBAAAPAAAA&#10;AAAAAAEAIAAAACIAAABkcnMvZG93bnJldi54bWxQSwECFAAUAAAACACHTuJAaxU8ZuEBAAChAwAA&#10;DgAAAAAAAAABACAAAAAiAQAAZHJzL2Uyb0RvYy54bWxQSwUGAAAAAAYABgBZAQAAdQUAAAAA&#10;">
                <v:fill on="f" focussize="0,0"/>
                <v:stroke weight="1.5pt" color="#000000" joinstyle="round"/>
                <v:imagedata o:title=""/>
                <o:lock v:ext="edit" aspectratio="f"/>
              </v:line>
            </w:pict>
          </mc:Fallback>
        </mc:AlternateContent>
      </w:r>
      <w:r>
        <w:rPr>
          <w:rFonts w:hint="eastAsia" w:ascii="仿宋_GB2312" w:eastAsia="仿宋_GB2312"/>
          <w:sz w:val="32"/>
          <w:szCs w:val="32"/>
        </w:rPr>
        <w:t>洛阳市</w:t>
      </w:r>
      <w:r>
        <w:rPr>
          <w:rFonts w:hint="eastAsia" w:ascii="宋体" w:hAnsi="宋体" w:cs="宋体"/>
          <w:sz w:val="32"/>
          <w:szCs w:val="32"/>
        </w:rPr>
        <w:t>瀍</w:t>
      </w:r>
      <w:r>
        <w:rPr>
          <w:rFonts w:hint="eastAsia" w:ascii="仿宋_GB2312" w:eastAsia="仿宋_GB2312"/>
          <w:sz w:val="32"/>
          <w:szCs w:val="32"/>
        </w:rPr>
        <w:t>河回族区发展和改革委员会  20</w:t>
      </w:r>
      <w:r>
        <w:rPr>
          <w:rFonts w:hint="eastAsia" w:ascii="仿宋_GB2312" w:eastAsia="仿宋_GB2312"/>
          <w:sz w:val="32"/>
          <w:szCs w:val="32"/>
          <w:lang w:val="en-US" w:eastAsia="zh-CN"/>
        </w:rPr>
        <w:t>20</w:t>
      </w:r>
      <w:r>
        <w:rPr>
          <w:rFonts w:hint="eastAsia" w:ascii="仿宋_GB2312" w:eastAsia="仿宋_GB2312"/>
          <w:sz w:val="32"/>
          <w:szCs w:val="32"/>
        </w:rPr>
        <w:t xml:space="preserve">年 </w:t>
      </w:r>
      <w:r>
        <w:rPr>
          <w:rFonts w:hint="eastAsia" w:ascii="仿宋_GB2312" w:eastAsia="仿宋_GB2312"/>
          <w:sz w:val="32"/>
          <w:szCs w:val="32"/>
          <w:lang w:val="en-US" w:eastAsia="zh-CN"/>
        </w:rPr>
        <w:t>9</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w:t>
      </w:r>
    </w:p>
    <w:sectPr>
      <w:pgSz w:w="11906" w:h="16838"/>
      <w:pgMar w:top="1871" w:right="1531" w:bottom="1417" w:left="181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E54457"/>
    <w:rsid w:val="002B3D1A"/>
    <w:rsid w:val="17347B4A"/>
    <w:rsid w:val="1BE54584"/>
    <w:rsid w:val="1F7436D7"/>
    <w:rsid w:val="23E54457"/>
    <w:rsid w:val="24870739"/>
    <w:rsid w:val="274D4BC2"/>
    <w:rsid w:val="280B33DA"/>
    <w:rsid w:val="287808FB"/>
    <w:rsid w:val="301F370C"/>
    <w:rsid w:val="30256428"/>
    <w:rsid w:val="3C8D1DA8"/>
    <w:rsid w:val="40C86250"/>
    <w:rsid w:val="41FB7B00"/>
    <w:rsid w:val="428F728F"/>
    <w:rsid w:val="4E1957D7"/>
    <w:rsid w:val="530A0B9A"/>
    <w:rsid w:val="534079D6"/>
    <w:rsid w:val="56D56BF6"/>
    <w:rsid w:val="5F3D73AF"/>
    <w:rsid w:val="664D77D3"/>
    <w:rsid w:val="6BC961E3"/>
    <w:rsid w:val="6D151B1B"/>
    <w:rsid w:val="6F471D5D"/>
    <w:rsid w:val="701F1C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样式 首行缩进:  2 字符 行距: 1.5 倍行距 + 首行缩进:  2 字符1"/>
    <w:basedOn w:val="1"/>
    <w:qFormat/>
    <w:uiPriority w:val="0"/>
    <w:pPr>
      <w:widowControl/>
      <w:adjustRightInd w:val="0"/>
      <w:snapToGrid w:val="0"/>
      <w:spacing w:before="312" w:beforeLines="100" w:after="312" w:afterLines="100"/>
      <w:ind w:firstLine="664" w:firstLineChars="200"/>
    </w:pPr>
    <w:rPr>
      <w:rFonts w:ascii="宋体" w:hAnsi="宋体" w:cs="宋体"/>
      <w:spacing w:val="6"/>
      <w:kern w:val="0"/>
      <w:sz w:val="32"/>
      <w:szCs w:val="32"/>
    </w:rPr>
  </w:style>
  <w:style w:type="paragraph" w:styleId="3">
    <w:name w:val="Body Text"/>
    <w:basedOn w:val="1"/>
    <w:qFormat/>
    <w:uiPriority w:val="0"/>
    <w:pPr>
      <w:spacing w:line="600" w:lineRule="exact"/>
      <w:jc w:val="center"/>
    </w:pPr>
    <w:rPr>
      <w:rFonts w:eastAsia="华文中宋"/>
      <w:sz w:val="44"/>
    </w:rPr>
  </w:style>
  <w:style w:type="paragraph" w:styleId="4">
    <w:name w:val="Body Text Indent"/>
    <w:basedOn w:val="1"/>
    <w:qFormat/>
    <w:uiPriority w:val="0"/>
    <w:pPr>
      <w:spacing w:before="156" w:beforeLines="50"/>
      <w:ind w:firstLine="640" w:firstLineChars="200"/>
    </w:pPr>
    <w:rPr>
      <w:rFonts w:ascii="华文中宋" w:hAnsi="华文中宋" w:eastAsia="华文中宋"/>
      <w:sz w:val="32"/>
    </w:r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8">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2020-06-08T05:11:00Z</dcterms:created>
  <dc:creator>WPS_142826600</dc:creator>
  <cp:lastModifiedBy>去吧皮卡丘</cp:lastModifiedBy>
  <cp:lastPrinted>2020-07-06T10:49:00Z</cp:lastPrinted>
  <dcterms:modified xsi:type="dcterms:W3CDTF">2020-09-15T09:16:24Z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