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b/>
          <w:sz w:val="72"/>
          <w:szCs w:val="72"/>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b/>
          <w:sz w:val="44"/>
          <w:szCs w:val="44"/>
        </w:rPr>
      </w:pPr>
    </w:p>
    <w:p>
      <w:pPr>
        <w:ind w:firstLine="160" w:firstLineChars="50"/>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瀍发改〔20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68</w:t>
      </w:r>
      <w:r>
        <w:rPr>
          <w:rFonts w:hint="eastAsia" w:ascii="华文仿宋" w:hAnsi="华文仿宋" w:eastAsia="华文仿宋" w:cs="华文仿宋"/>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华文中宋" w:hAnsi="华文中宋" w:eastAsia="华文中宋"/>
          <w:b/>
          <w:sz w:val="44"/>
          <w:szCs w:val="44"/>
        </w:rPr>
      </w:pPr>
    </w:p>
    <w:p>
      <w:pPr>
        <w:widowControl/>
        <w:spacing w:line="540" w:lineRule="exact"/>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kern w:val="0"/>
          <w:sz w:val="44"/>
          <w:szCs w:val="44"/>
          <w:lang w:bidi="ar"/>
        </w:rPr>
        <w:t>瀍河区发改委关于印发</w:t>
      </w:r>
    </w:p>
    <w:p>
      <w:pPr>
        <w:widowControl/>
        <w:spacing w:line="540" w:lineRule="exact"/>
        <w:jc w:val="center"/>
        <w:rPr>
          <w:rFonts w:hint="eastAsia" w:ascii="华文中宋" w:hAnsi="华文中宋" w:eastAsia="华文中宋" w:cs="华文中宋"/>
          <w:b/>
          <w:color w:val="000000"/>
          <w:w w:val="95"/>
          <w:kern w:val="0"/>
          <w:sz w:val="44"/>
          <w:szCs w:val="44"/>
          <w:lang w:bidi="ar"/>
        </w:rPr>
      </w:pPr>
      <w:r>
        <w:rPr>
          <w:rFonts w:hint="eastAsia" w:ascii="华文中宋" w:hAnsi="华文中宋" w:eastAsia="华文中宋" w:cs="华文中宋"/>
          <w:b/>
          <w:color w:val="000000"/>
          <w:w w:val="95"/>
          <w:kern w:val="0"/>
          <w:sz w:val="44"/>
          <w:szCs w:val="44"/>
          <w:lang w:bidi="ar"/>
        </w:rPr>
        <w:t>重大项目建设领域基层政务公开标准目录</w:t>
      </w:r>
    </w:p>
    <w:p>
      <w:pPr>
        <w:widowControl/>
        <w:tabs>
          <w:tab w:val="center" w:pos="4153"/>
          <w:tab w:val="left" w:pos="6615"/>
        </w:tabs>
        <w:spacing w:line="540" w:lineRule="exact"/>
        <w:jc w:val="left"/>
        <w:rPr>
          <w:rFonts w:hint="eastAsia" w:ascii="华文中宋" w:hAnsi="华文中宋" w:eastAsia="华文中宋" w:cs="华文中宋"/>
          <w:b/>
          <w:color w:val="000000"/>
          <w:w w:val="95"/>
          <w:kern w:val="0"/>
          <w:sz w:val="44"/>
          <w:szCs w:val="44"/>
          <w:lang w:bidi="ar"/>
        </w:rPr>
      </w:pPr>
      <w:r>
        <w:rPr>
          <w:rFonts w:ascii="华文中宋" w:hAnsi="华文中宋" w:eastAsia="华文中宋" w:cs="华文中宋"/>
          <w:b/>
          <w:color w:val="000000"/>
          <w:w w:val="95"/>
          <w:kern w:val="0"/>
          <w:sz w:val="44"/>
          <w:szCs w:val="44"/>
          <w:lang w:bidi="ar"/>
        </w:rPr>
        <w:tab/>
      </w:r>
      <w:r>
        <w:rPr>
          <w:rFonts w:hint="eastAsia" w:ascii="华文中宋" w:hAnsi="华文中宋" w:eastAsia="华文中宋" w:cs="华文中宋"/>
          <w:b/>
          <w:color w:val="000000"/>
          <w:w w:val="95"/>
          <w:kern w:val="0"/>
          <w:sz w:val="44"/>
          <w:szCs w:val="44"/>
          <w:lang w:bidi="ar"/>
        </w:rPr>
        <w:t>指引的通知</w:t>
      </w:r>
      <w:r>
        <w:rPr>
          <w:rFonts w:ascii="华文中宋" w:hAnsi="华文中宋" w:eastAsia="华文中宋" w:cs="华文中宋"/>
          <w:b/>
          <w:color w:val="000000"/>
          <w:w w:val="95"/>
          <w:kern w:val="0"/>
          <w:sz w:val="44"/>
          <w:szCs w:val="44"/>
          <w:lang w:bidi="ar"/>
        </w:rPr>
        <w:tab/>
      </w:r>
    </w:p>
    <w:p>
      <w:pPr>
        <w:widowControl/>
        <w:spacing w:line="540" w:lineRule="exact"/>
        <w:jc w:val="center"/>
        <w:rPr>
          <w:rFonts w:hint="eastAsia" w:ascii="华文中宋" w:hAnsi="华文中宋" w:eastAsia="华文中宋" w:cs="华文中宋"/>
          <w:b/>
          <w:color w:val="000000"/>
          <w:kern w:val="0"/>
          <w:sz w:val="44"/>
          <w:szCs w:val="44"/>
          <w:lang w:bidi="ar"/>
        </w:rPr>
      </w:pPr>
    </w:p>
    <w:p>
      <w:pPr>
        <w:widowControl/>
        <w:spacing w:line="54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eastAsia="zh-CN" w:bidi="ar"/>
        </w:rPr>
        <w:t>区发改委</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r>
        <w:rPr>
          <w:rFonts w:hint="eastAsia" w:ascii="华文仿宋" w:hAnsi="华文仿宋" w:eastAsia="华文仿宋" w:cs="华文仿宋"/>
          <w:color w:val="000000"/>
          <w:kern w:val="0"/>
          <w:sz w:val="32"/>
          <w:szCs w:val="32"/>
          <w:lang w:bidi="ar"/>
        </w:rPr>
        <w:t>：</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开展基层政务公开标准化规范化工作，是事关深化“放管服”改革、建设法治政府和服务型政府的重要基础工作。为落实《中华人民共和国政府信息公开条例》（国务院令第</w:t>
      </w:r>
    </w:p>
    <w:p>
      <w:pPr>
        <w:widowControl/>
        <w:spacing w:line="54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711号）、《国务院办公厅关于印发开展基层政务公开标准化规范化试点工作方案的通知》（国办发〔2017〕42号）要求和全国政务公开领导小组第一次会议有关部署，有效推动重大建设项目领域基层政务公开标准化规范化工作，瀍河区发改委制定了《重大建设项目领域基层政务公开标准目录》，现印发你们，请结合实际贯彻落实，并就有关事项通知如下：</w:t>
      </w:r>
    </w:p>
    <w:p>
      <w:pPr>
        <w:widowControl/>
        <w:spacing w:line="54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一、总体要求</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楷体" w:hAnsi="楷体" w:eastAsia="楷体" w:cs="楷体"/>
          <w:color w:val="000000"/>
          <w:kern w:val="0"/>
          <w:sz w:val="32"/>
          <w:szCs w:val="32"/>
          <w:lang w:bidi="ar"/>
        </w:rPr>
        <w:t>（一）指导思想</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全面贯彻落实党的十九大和十九届二中、三中全会精神,深入落实党中央、国务院关于全面推进政务公开的决策部署，按照建设法治政府、创新政府、廉洁政府和服务型政府的要求，积极适应新时代人民群众的新期待和新需求，以提升政务公开质量为主线，推进基层重大建设项目政务公开标准化规范化工作，通过深化公开促进政府职能转变，优化提升便民利企效能，有效维护政府良好形象和社会公信力，切实增强人民群众满意度、获得感。</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楷体" w:hAnsi="楷体" w:eastAsia="楷体" w:cs="楷体"/>
          <w:color w:val="000000"/>
          <w:kern w:val="0"/>
          <w:sz w:val="32"/>
          <w:szCs w:val="32"/>
          <w:lang w:bidi="ar"/>
        </w:rPr>
        <w:t>（二）工作目标。</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适应新时代经济社会发展的新需求，紧紧围绕社会公众关切，进一步强化依法公开意识，规范政务公开平台管理，积极探索全系统政务公开的新路径、新形式和新方法,深入推进基层重大建设项目领域政务公开标准化规范化，加大主动公开、政策解读、政务舆情回应工作力度，不断增强公开实效，按时将全区重大建设项目公开。</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黑体" w:hAnsi="黑体" w:eastAsia="黑体" w:cs="黑体"/>
          <w:color w:val="000000"/>
          <w:kern w:val="0"/>
          <w:sz w:val="32"/>
          <w:szCs w:val="32"/>
          <w:lang w:bidi="ar"/>
        </w:rPr>
        <w:t>二、适用范围</w:t>
      </w:r>
    </w:p>
    <w:p>
      <w:pPr>
        <w:widowControl/>
        <w:spacing w:line="540" w:lineRule="exact"/>
        <w:ind w:firstLine="640" w:firstLineChars="200"/>
        <w:jc w:val="left"/>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kern w:val="0"/>
          <w:sz w:val="32"/>
          <w:szCs w:val="32"/>
          <w:lang w:bidi="ar"/>
        </w:rPr>
        <w:t>本指引适用于重大建设项目领域。适用的主体范围包括</w:t>
      </w:r>
      <w:r>
        <w:rPr>
          <w:rFonts w:hint="eastAsia" w:ascii="华文仿宋" w:hAnsi="华文仿宋" w:eastAsia="华文仿宋" w:cs="华文仿宋"/>
          <w:color w:val="000000"/>
          <w:kern w:val="0"/>
          <w:sz w:val="32"/>
          <w:szCs w:val="32"/>
          <w:lang w:eastAsia="zh-CN" w:bidi="ar"/>
        </w:rPr>
        <w:t>委属</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黑体" w:hAnsi="黑体" w:eastAsia="黑体" w:cs="黑体"/>
          <w:color w:val="000000"/>
          <w:kern w:val="0"/>
          <w:sz w:val="32"/>
          <w:szCs w:val="32"/>
          <w:lang w:bidi="ar"/>
        </w:rPr>
        <w:t>三、公开事项与标准目录</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重大建设项目领域基层政务公开标准目录围绕</w:t>
      </w:r>
      <w:r>
        <w:rPr>
          <w:rFonts w:hint="eastAsia" w:ascii="华文仿宋" w:hAnsi="华文仿宋" w:eastAsia="华文仿宋" w:cs="华文仿宋"/>
          <w:color w:val="000000"/>
          <w:kern w:val="0"/>
          <w:sz w:val="32"/>
          <w:szCs w:val="32"/>
          <w:lang w:val="en-US" w:eastAsia="zh-CN" w:bidi="ar"/>
        </w:rPr>
        <w:t>5</w:t>
      </w:r>
      <w:r>
        <w:rPr>
          <w:rFonts w:hint="eastAsia" w:ascii="华文仿宋" w:hAnsi="华文仿宋" w:eastAsia="华文仿宋" w:cs="华文仿宋"/>
          <w:color w:val="000000"/>
          <w:kern w:val="0"/>
          <w:sz w:val="32"/>
          <w:szCs w:val="32"/>
          <w:lang w:bidi="ar"/>
        </w:rPr>
        <w:t>项一级公开事项进行编制，其中二级公开事项共</w:t>
      </w:r>
      <w:r>
        <w:rPr>
          <w:rFonts w:hint="eastAsia" w:ascii="华文仿宋" w:hAnsi="华文仿宋" w:eastAsia="华文仿宋" w:cs="华文仿宋"/>
          <w:color w:val="000000"/>
          <w:kern w:val="0"/>
          <w:sz w:val="32"/>
          <w:szCs w:val="32"/>
          <w:lang w:val="en-US" w:eastAsia="zh-CN" w:bidi="ar"/>
        </w:rPr>
        <w:t>29</w:t>
      </w:r>
      <w:r>
        <w:rPr>
          <w:rFonts w:hint="eastAsia" w:ascii="华文仿宋" w:hAnsi="华文仿宋" w:eastAsia="华文仿宋" w:cs="华文仿宋"/>
          <w:color w:val="000000"/>
          <w:kern w:val="0"/>
          <w:sz w:val="32"/>
          <w:szCs w:val="32"/>
          <w:lang w:bidi="ar"/>
        </w:rPr>
        <w:t>项。</w:t>
      </w:r>
    </w:p>
    <w:p>
      <w:pPr>
        <w:widowControl/>
        <w:spacing w:line="54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eastAsia="zh-CN" w:bidi="ar"/>
        </w:rPr>
        <w:t>四</w:t>
      </w:r>
      <w:r>
        <w:rPr>
          <w:rFonts w:hint="eastAsia" w:ascii="黑体" w:hAnsi="黑体" w:eastAsia="黑体" w:cs="黑体"/>
          <w:color w:val="000000"/>
          <w:kern w:val="0"/>
          <w:sz w:val="32"/>
          <w:szCs w:val="32"/>
          <w:lang w:bidi="ar"/>
        </w:rPr>
        <w:t>、流程规范</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要切实加强</w:t>
      </w:r>
      <w:r>
        <w:rPr>
          <w:rFonts w:hint="eastAsia" w:ascii="华文仿宋" w:hAnsi="华文仿宋" w:eastAsia="华文仿宋" w:cs="华文仿宋"/>
          <w:color w:val="000000"/>
          <w:kern w:val="0"/>
          <w:sz w:val="32"/>
          <w:szCs w:val="32"/>
          <w:lang w:eastAsia="zh-CN" w:bidi="ar"/>
        </w:rPr>
        <w:t>重大建设项目</w:t>
      </w:r>
      <w:r>
        <w:rPr>
          <w:rFonts w:hint="eastAsia" w:ascii="华文仿宋" w:hAnsi="华文仿宋" w:eastAsia="华文仿宋" w:cs="华文仿宋"/>
          <w:color w:val="000000"/>
          <w:kern w:val="0"/>
          <w:sz w:val="32"/>
          <w:szCs w:val="32"/>
          <w:lang w:bidi="ar"/>
        </w:rPr>
        <w:t>领域基层政务公开工作，全面推进决策公开、执行公开、管理公开、服务公开、结果公开，最大限度方便企业和群众办事，打通</w:t>
      </w:r>
      <w:r>
        <w:rPr>
          <w:rFonts w:hint="eastAsia" w:ascii="华文仿宋" w:hAnsi="华文仿宋" w:eastAsia="华文仿宋" w:cs="华文仿宋"/>
          <w:color w:val="000000"/>
          <w:kern w:val="0"/>
          <w:sz w:val="32"/>
          <w:szCs w:val="32"/>
          <w:lang w:eastAsia="zh-CN" w:bidi="ar"/>
        </w:rPr>
        <w:t>委各科室</w:t>
      </w:r>
      <w:r>
        <w:rPr>
          <w:rFonts w:hint="eastAsia" w:ascii="华文仿宋" w:hAnsi="华文仿宋" w:eastAsia="华文仿宋" w:cs="华文仿宋"/>
          <w:color w:val="000000"/>
          <w:kern w:val="0"/>
          <w:sz w:val="32"/>
          <w:szCs w:val="32"/>
          <w:lang w:bidi="ar"/>
        </w:rPr>
        <w:t>服务人民群众的“最后一公里”。</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eastAsia="zh-CN" w:bidi="ar"/>
        </w:rPr>
        <w:t>委属</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r>
        <w:rPr>
          <w:rFonts w:hint="eastAsia" w:ascii="华文仿宋" w:hAnsi="华文仿宋" w:eastAsia="华文仿宋" w:cs="华文仿宋"/>
          <w:color w:val="000000"/>
          <w:kern w:val="0"/>
          <w:sz w:val="32"/>
          <w:szCs w:val="32"/>
          <w:lang w:bidi="ar"/>
        </w:rPr>
        <w:t>要按照《国务院办公厅关于全面推进政务公开工作的意见的实施细则》(国办发〔2016〕80号)规定，按照“五公开”工作要求，加强</w:t>
      </w:r>
      <w:r>
        <w:rPr>
          <w:rFonts w:hint="eastAsia" w:ascii="华文仿宋" w:hAnsi="华文仿宋" w:eastAsia="华文仿宋" w:cs="华文仿宋"/>
          <w:color w:val="000000"/>
          <w:kern w:val="0"/>
          <w:sz w:val="32"/>
          <w:szCs w:val="32"/>
          <w:lang w:eastAsia="zh-CN" w:bidi="ar"/>
        </w:rPr>
        <w:t>重大建设项目</w:t>
      </w:r>
      <w:r>
        <w:rPr>
          <w:rFonts w:hint="eastAsia" w:ascii="华文仿宋" w:hAnsi="华文仿宋" w:eastAsia="华文仿宋" w:cs="华文仿宋"/>
          <w:color w:val="000000"/>
          <w:kern w:val="0"/>
          <w:sz w:val="32"/>
          <w:szCs w:val="32"/>
          <w:lang w:bidi="ar"/>
        </w:rPr>
        <w:t>领域公开属性源头管理、主动公开、政策解读、回应关切、公众参与等工作，推动发布、解读、回应有序衔接。</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eastAsia="zh-CN" w:bidi="ar"/>
        </w:rPr>
        <w:t>重大建设项目</w:t>
      </w:r>
      <w:r>
        <w:rPr>
          <w:rFonts w:hint="eastAsia" w:ascii="华文仿宋" w:hAnsi="华文仿宋" w:eastAsia="华文仿宋" w:cs="华文仿宋"/>
          <w:color w:val="000000"/>
          <w:kern w:val="0"/>
          <w:sz w:val="32"/>
          <w:szCs w:val="32"/>
          <w:lang w:bidi="ar"/>
        </w:rPr>
        <w:t>的公共法律服务领域基层政务公开标准目录，应明确公开的事项、内容、依据、时限、主体、渠道和载体、对象、方式、层级等，并动态更新，严格执行。</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瀍河区</w:t>
      </w:r>
      <w:r>
        <w:rPr>
          <w:rFonts w:hint="eastAsia" w:ascii="华文仿宋" w:hAnsi="华文仿宋" w:eastAsia="华文仿宋" w:cs="华文仿宋"/>
          <w:color w:val="000000"/>
          <w:kern w:val="0"/>
          <w:sz w:val="32"/>
          <w:szCs w:val="32"/>
          <w:lang w:eastAsia="zh-CN" w:bidi="ar"/>
        </w:rPr>
        <w:t>发改委</w:t>
      </w:r>
      <w:r>
        <w:rPr>
          <w:rFonts w:hint="eastAsia" w:ascii="华文仿宋" w:hAnsi="华文仿宋" w:eastAsia="华文仿宋" w:cs="华文仿宋"/>
          <w:color w:val="000000"/>
          <w:kern w:val="0"/>
          <w:sz w:val="32"/>
          <w:szCs w:val="32"/>
          <w:lang w:bidi="ar"/>
        </w:rPr>
        <w:t>会高度重视，加强对</w:t>
      </w:r>
      <w:r>
        <w:rPr>
          <w:rFonts w:hint="eastAsia" w:ascii="华文仿宋" w:hAnsi="华文仿宋" w:eastAsia="华文仿宋" w:cs="华文仿宋"/>
          <w:color w:val="000000"/>
          <w:kern w:val="0"/>
          <w:sz w:val="32"/>
          <w:szCs w:val="32"/>
          <w:lang w:eastAsia="zh-CN" w:bidi="ar"/>
        </w:rPr>
        <w:t>重大建设项目</w:t>
      </w:r>
      <w:r>
        <w:rPr>
          <w:rFonts w:hint="eastAsia" w:ascii="华文仿宋" w:hAnsi="华文仿宋" w:eastAsia="华文仿宋" w:cs="华文仿宋"/>
          <w:color w:val="000000"/>
          <w:kern w:val="0"/>
          <w:sz w:val="32"/>
          <w:szCs w:val="32"/>
          <w:lang w:bidi="ar"/>
        </w:rPr>
        <w:t>领域政务公开工作的领导、指导和支持，强化监督、评估，确保取得实效。</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p>
    <w:p>
      <w:pPr>
        <w:widowControl/>
        <w:spacing w:line="540" w:lineRule="exact"/>
        <w:ind w:firstLine="640" w:firstLineChars="200"/>
        <w:jc w:val="left"/>
        <w:rPr>
          <w:rFonts w:hint="eastAsia" w:ascii="华文仿宋" w:hAnsi="华文仿宋" w:eastAsia="华文仿宋" w:cs="华文仿宋"/>
          <w:color w:val="000000"/>
          <w:kern w:val="0"/>
          <w:sz w:val="32"/>
          <w:szCs w:val="32"/>
          <w:u w:val="single"/>
          <w:lang w:bidi="ar"/>
        </w:rPr>
      </w:pPr>
    </w:p>
    <w:p>
      <w:pPr>
        <w:widowControl/>
        <w:spacing w:line="540" w:lineRule="exact"/>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附件：重大建设项目领域基层政务公开标准目录</w:t>
      </w:r>
    </w:p>
    <w:p>
      <w:pPr>
        <w:widowControl/>
        <w:spacing w:line="540" w:lineRule="exact"/>
        <w:ind w:firstLine="5440" w:firstLineChars="1700"/>
        <w:jc w:val="left"/>
        <w:rPr>
          <w:rFonts w:hint="eastAsia" w:ascii="华文仿宋" w:hAnsi="华文仿宋" w:eastAsia="华文仿宋" w:cs="华文仿宋"/>
          <w:color w:val="000000"/>
          <w:kern w:val="0"/>
          <w:sz w:val="32"/>
          <w:szCs w:val="32"/>
          <w:u w:val="single"/>
          <w:lang w:bidi="ar"/>
        </w:rPr>
      </w:pPr>
    </w:p>
    <w:p>
      <w:pPr>
        <w:pStyle w:val="2"/>
        <w:rPr>
          <w:rFonts w:hint="eastAsia"/>
        </w:rPr>
      </w:pPr>
    </w:p>
    <w:p>
      <w:pPr>
        <w:widowControl/>
        <w:spacing w:line="540" w:lineRule="exact"/>
        <w:ind w:firstLine="4480" w:firstLineChars="1400"/>
        <w:jc w:val="left"/>
        <w:rPr>
          <w:rFonts w:hint="default"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bidi="ar"/>
        </w:rPr>
        <w:t>2020年9月1</w:t>
      </w:r>
      <w:r>
        <w:rPr>
          <w:rFonts w:hint="eastAsia" w:ascii="华文仿宋" w:hAnsi="华文仿宋" w:eastAsia="华文仿宋" w:cs="华文仿宋"/>
          <w:color w:val="000000"/>
          <w:kern w:val="0"/>
          <w:sz w:val="32"/>
          <w:szCs w:val="32"/>
          <w:lang w:val="en-US" w:eastAsia="zh-CN" w:bidi="ar"/>
        </w:rPr>
        <w:t>3</w:t>
      </w:r>
      <w:r>
        <w:rPr>
          <w:rFonts w:hint="eastAsia" w:ascii="华文仿宋" w:hAnsi="华文仿宋" w:eastAsia="华文仿宋" w:cs="华文仿宋"/>
          <w:color w:val="000000"/>
          <w:kern w:val="0"/>
          <w:sz w:val="32"/>
          <w:szCs w:val="32"/>
          <w:lang w:bidi="ar"/>
        </w:rPr>
        <w:t>日</w:t>
      </w:r>
      <w:r>
        <w:rPr>
          <w:rFonts w:hint="eastAsia" w:ascii="华文仿宋" w:hAnsi="华文仿宋" w:eastAsia="华文仿宋" w:cs="华文仿宋"/>
          <w:color w:val="000000"/>
          <w:kern w:val="0"/>
          <w:sz w:val="32"/>
          <w:szCs w:val="32"/>
          <w:lang w:val="en-US" w:eastAsia="zh-CN" w:bidi="ar"/>
        </w:rPr>
        <w:t xml:space="preserve">  </w:t>
      </w:r>
    </w:p>
    <w:p>
      <w:pPr>
        <w:pStyle w:val="2"/>
        <w:rPr>
          <w:rFonts w:hint="eastAsia" w:ascii="华文仿宋" w:hAnsi="华文仿宋" w:eastAsia="华文仿宋"/>
          <w:sz w:val="32"/>
          <w:lang w:val="en-US" w:eastAsia="zh-CN"/>
        </w:rPr>
      </w:pPr>
    </w:p>
    <w:p>
      <w:pPr>
        <w:pStyle w:val="2"/>
        <w:rPr>
          <w:rFonts w:hint="eastAsia" w:ascii="华文仿宋" w:hAnsi="华文仿宋" w:eastAsia="华文仿宋"/>
          <w:sz w:val="32"/>
          <w:lang w:val="en-US" w:eastAsia="zh-CN"/>
        </w:rPr>
      </w:pPr>
    </w:p>
    <w:p>
      <w:pPr>
        <w:pStyle w:val="2"/>
        <w:rPr>
          <w:rFonts w:hint="eastAsia" w:ascii="华文仿宋" w:hAnsi="华文仿宋" w:eastAsia="华文仿宋"/>
          <w:sz w:val="32"/>
          <w:lang w:val="en-US" w:eastAsia="zh-CN"/>
        </w:rPr>
      </w:pPr>
    </w:p>
    <w:p>
      <w:pPr>
        <w:pStyle w:val="2"/>
        <w:rPr>
          <w:rFonts w:hint="eastAsia" w:ascii="华文仿宋" w:hAnsi="华文仿宋" w:eastAsia="华文仿宋"/>
          <w:sz w:val="32"/>
          <w:lang w:val="en-US" w:eastAsia="zh-CN"/>
        </w:rPr>
      </w:pPr>
    </w:p>
    <w:p>
      <w:pPr>
        <w:pStyle w:val="2"/>
        <w:rPr>
          <w:rFonts w:hint="eastAsia" w:ascii="华文仿宋" w:hAnsi="华文仿宋" w:eastAsia="华文仿宋"/>
          <w:sz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bookmarkStart w:id="0" w:name="_GoBack"/>
      <w:bookmarkEnd w:id="0"/>
    </w:p>
    <w:p>
      <w:pPr>
        <w:pStyle w:val="2"/>
        <w:rPr>
          <w:rFonts w:hint="eastAsia" w:ascii="宋体" w:hAnsi="宋体"/>
          <w:sz w:val="32"/>
          <w:szCs w:val="32"/>
          <w:lang w:val="en-US" w:eastAsia="zh-CN"/>
        </w:rPr>
      </w:pPr>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r>
        <w:rPr>
          <w:rFonts w:hint="eastAsia" w:ascii="黑体" w:eastAsia="黑体"/>
          <w:b/>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281940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pt;height:0pt;width:432pt;z-index:251658240;mso-width-relative:page;mso-height-relative:page;" filled="f" stroked="t" coordsize="21600,21600" o:gfxdata="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3x95HSAAAABgEAAA8AAAAAAAAAAQAg&#10;AAAAIgAAAGRycy9kb3ducmV2LnhtbFBLAQIUABQAAAAIAIdO4kDN9oAS2wEAAJcDAAAOAAAAAAAA&#10;AAEAIAAAACEBAABkcnMvZTJvRG9jLnhtbFBLBQYAAAAABgAGAFkBAABuBQAAAAA=&#10;">
                <v:fill on="f" focussize="0,0"/>
                <v:stroke weight="1.5pt" color="#000000" joinstyle="round"/>
                <v:imagedata o:title=""/>
                <o:lock v:ext="edit" aspectratio="f"/>
              </v:line>
            </w:pict>
          </mc:Fallback>
        </mc:AlternateContent>
      </w:r>
    </w:p>
    <w:p>
      <w:pPr>
        <w:spacing w:line="440" w:lineRule="exact"/>
        <w:ind w:firstLine="320" w:firstLineChars="100"/>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299720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flipH="1">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pt;margin-top:23.6pt;height:0pt;width:432pt;z-index:251659264;mso-width-relative:page;mso-height-relative:page;" filled="f" stroked="t" coordsize="21600,21600" o:gfxdata="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eYev0wAAAAYBAAAPAAAA&#10;AAAAAAEAIAAAACIAAABkcnMvZG93bnJldi54bWxQSwECFAAUAAAACACHTuJAaxU8ZuEBAAChAwAA&#10;DgAAAAAAAAABACAAAAAiAQAAZHJzL2Uyb0RvYy54bWxQSwUGAAAAAAYABgBZAQAAdQUAAAAA&#10;">
                <v:fill on="f" focussize="0,0"/>
                <v:stroke weight="1.5pt" color="#000000" joinstyle="round"/>
                <v:imagedata o:title=""/>
                <o:lock v:ext="edit" aspectratio="f"/>
              </v:line>
            </w:pict>
          </mc:Fallback>
        </mc:AlternateContent>
      </w:r>
      <w:r>
        <w:rPr>
          <w:rFonts w:hint="eastAsia" w:ascii="仿宋_GB2312" w:eastAsia="仿宋_GB2312"/>
          <w:sz w:val="32"/>
          <w:szCs w:val="32"/>
        </w:rPr>
        <w:t>洛阳市</w:t>
      </w:r>
      <w:r>
        <w:rPr>
          <w:rFonts w:hint="eastAsia" w:ascii="宋体" w:hAnsi="宋体" w:cs="宋体"/>
          <w:sz w:val="32"/>
          <w:szCs w:val="32"/>
        </w:rPr>
        <w:t>瀍</w:t>
      </w:r>
      <w:r>
        <w:rPr>
          <w:rFonts w:hint="eastAsia" w:ascii="仿宋_GB2312" w:eastAsia="仿宋_GB2312"/>
          <w:sz w:val="32"/>
          <w:szCs w:val="32"/>
        </w:rPr>
        <w:t>河回族区发展和改革委员会  20</w:t>
      </w:r>
      <w:r>
        <w:rPr>
          <w:rFonts w:hint="eastAsia" w:ascii="仿宋_GB2312" w:eastAsia="仿宋_GB2312"/>
          <w:sz w:val="32"/>
          <w:szCs w:val="32"/>
          <w:lang w:val="en-US" w:eastAsia="zh-CN"/>
        </w:rPr>
        <w:t>20</w:t>
      </w:r>
      <w:r>
        <w:rPr>
          <w:rFonts w:hint="eastAsia" w:ascii="仿宋_GB2312" w:eastAsia="仿宋_GB2312"/>
          <w:sz w:val="32"/>
          <w:szCs w:val="32"/>
        </w:rPr>
        <w:t xml:space="preserve">年 </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sectPr>
      <w:pgSz w:w="11906" w:h="16838"/>
      <w:pgMar w:top="1871" w:right="1531" w:bottom="1417" w:left="181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54457"/>
    <w:rsid w:val="002B3D1A"/>
    <w:rsid w:val="17347B4A"/>
    <w:rsid w:val="1BE54584"/>
    <w:rsid w:val="1F7436D7"/>
    <w:rsid w:val="23E54457"/>
    <w:rsid w:val="24870739"/>
    <w:rsid w:val="274D4BC2"/>
    <w:rsid w:val="287808FB"/>
    <w:rsid w:val="301F370C"/>
    <w:rsid w:val="30256428"/>
    <w:rsid w:val="32CC40C0"/>
    <w:rsid w:val="3C8D1DA8"/>
    <w:rsid w:val="40C86250"/>
    <w:rsid w:val="41FB7B00"/>
    <w:rsid w:val="428F728F"/>
    <w:rsid w:val="4E1957D7"/>
    <w:rsid w:val="530A0B9A"/>
    <w:rsid w:val="534079D6"/>
    <w:rsid w:val="56D56BF6"/>
    <w:rsid w:val="5F3D73AF"/>
    <w:rsid w:val="664D77D3"/>
    <w:rsid w:val="6BC961E3"/>
    <w:rsid w:val="6D151B1B"/>
    <w:rsid w:val="6F471D5D"/>
    <w:rsid w:val="701F1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样式 首行缩进:  2 字符 行距: 1.5 倍行距 + 首行缩进:  2 字符1"/>
    <w:basedOn w:val="1"/>
    <w:qFormat/>
    <w:uiPriority w:val="0"/>
    <w:pPr>
      <w:widowControl/>
      <w:adjustRightInd w:val="0"/>
      <w:snapToGrid w:val="0"/>
      <w:spacing w:before="312" w:beforeLines="100" w:after="312" w:afterLines="100"/>
      <w:ind w:firstLine="664" w:firstLineChars="200"/>
    </w:pPr>
    <w:rPr>
      <w:rFonts w:ascii="宋体" w:hAnsi="宋体" w:cs="宋体"/>
      <w:spacing w:val="6"/>
      <w:kern w:val="0"/>
      <w:sz w:val="32"/>
      <w:szCs w:val="32"/>
    </w:rPr>
  </w:style>
  <w:style w:type="paragraph" w:styleId="3">
    <w:name w:val="Body Text"/>
    <w:basedOn w:val="1"/>
    <w:qFormat/>
    <w:uiPriority w:val="0"/>
    <w:pPr>
      <w:spacing w:line="600" w:lineRule="exact"/>
      <w:jc w:val="center"/>
    </w:pPr>
    <w:rPr>
      <w:rFonts w:eastAsia="华文中宋"/>
      <w:sz w:val="44"/>
    </w:rPr>
  </w:style>
  <w:style w:type="paragraph" w:styleId="4">
    <w:name w:val="Body Text Indent"/>
    <w:basedOn w:val="1"/>
    <w:qFormat/>
    <w:uiPriority w:val="0"/>
    <w:pPr>
      <w:spacing w:before="156" w:beforeLines="50"/>
      <w:ind w:firstLine="640" w:firstLineChars="200"/>
    </w:pPr>
    <w:rPr>
      <w:rFonts w:ascii="华文中宋" w:hAnsi="华文中宋" w:eastAsia="华文中宋"/>
      <w:sz w:val="3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2020-06-08T05:11:00Z</dcterms:created>
  <dc:creator>WPS_142826600</dc:creator>
  <cp:lastModifiedBy>去吧皮卡丘</cp:lastModifiedBy>
  <cp:lastPrinted>2020-07-06T10:49:00Z</cp:lastPrinted>
  <dcterms:modified xsi:type="dcterms:W3CDTF">2020-09-15T09:09:49Z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