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keepNext/>
        <w:keepLines/>
        <w:widowControl w:val="0"/>
        <w:shd w:val="clear" w:color="auto" w:fill="auto"/>
        <w:wordWrap/>
        <w:adjustRightInd w:val="0"/>
        <w:snapToGrid w:val="0"/>
        <w:spacing w:before="0" w:after="0" w:line="600" w:lineRule="exact"/>
        <w:ind w:left="0" w:leftChars="0" w:right="0" w:firstLine="0" w:firstLineChars="0"/>
        <w:jc w:val="center"/>
        <w:textAlignment w:val="auto"/>
        <w:rPr>
          <w:rFonts w:hint="eastAsia" w:ascii="宋体" w:hAnsi="宋体" w:eastAsia="宋体" w:cs="宋体"/>
          <w:b/>
          <w:bCs/>
          <w:sz w:val="44"/>
          <w:szCs w:val="44"/>
        </w:rPr>
      </w:pPr>
      <w:bookmarkStart w:id="0" w:name="bookmark3"/>
      <w:bookmarkStart w:id="1" w:name="bookmark4"/>
      <w:bookmarkStart w:id="2" w:name="bookmark5"/>
      <w:r>
        <w:rPr>
          <w:rFonts w:hint="eastAsia" w:ascii="宋体" w:hAnsi="宋体" w:eastAsia="宋体" w:cs="宋体"/>
          <w:b/>
          <w:bCs/>
          <w:color w:val="000000"/>
          <w:spacing w:val="0"/>
          <w:w w:val="100"/>
          <w:position w:val="0"/>
          <w:sz w:val="44"/>
          <w:szCs w:val="44"/>
          <w:lang w:eastAsia="zh-CN"/>
        </w:rPr>
        <w:t>瀍河回族区文化和旅游局</w:t>
      </w:r>
      <w:r>
        <w:rPr>
          <w:rFonts w:hint="eastAsia" w:ascii="宋体" w:hAnsi="宋体" w:eastAsia="宋体" w:cs="宋体"/>
          <w:b/>
          <w:bCs/>
          <w:color w:val="000000"/>
          <w:spacing w:val="0"/>
          <w:w w:val="100"/>
          <w:position w:val="0"/>
          <w:sz w:val="44"/>
          <w:szCs w:val="44"/>
        </w:rPr>
        <w:t>公共文化服务领域基层政务公开标准指引</w:t>
      </w:r>
      <w:bookmarkEnd w:id="0"/>
      <w:bookmarkEnd w:id="1"/>
      <w:bookmarkEnd w:id="2"/>
    </w:p>
    <w:p>
      <w:pPr>
        <w:pStyle w:val="8"/>
        <w:widowControl w:val="0"/>
        <w:shd w:val="clear" w:color="auto" w:fill="auto"/>
        <w:wordWrap/>
        <w:adjustRightInd w:val="0"/>
        <w:snapToGrid w:val="0"/>
        <w:spacing w:before="0" w:after="0" w:line="600" w:lineRule="exact"/>
        <w:ind w:left="0" w:leftChars="0" w:right="0" w:firstLine="0" w:firstLineChars="0"/>
        <w:jc w:val="both"/>
        <w:textAlignment w:val="auto"/>
        <w:rPr>
          <w:rFonts w:hint="eastAsia" w:ascii="仿宋" w:hAnsi="仿宋" w:eastAsia="仿宋" w:cs="仿宋"/>
          <w:color w:val="000000"/>
          <w:spacing w:val="0"/>
          <w:w w:val="100"/>
          <w:position w:val="0"/>
          <w:sz w:val="32"/>
          <w:szCs w:val="32"/>
        </w:rPr>
      </w:pP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一、目的依据</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为进一步提高公共文化服务领域基层政务公开工作标准化规范化水平，保障人民群众知情权、参与权、表达权、监督权，根据《中共中央办公厅</w:t>
      </w:r>
      <w:r>
        <w:rPr>
          <w:rFonts w:hint="eastAsia" w:ascii="仿宋" w:hAnsi="仿宋" w:eastAsia="仿宋" w:cs="仿宋"/>
          <w:color w:val="000000"/>
          <w:spacing w:val="0"/>
          <w:w w:val="100"/>
          <w:position w:val="0"/>
          <w:sz w:val="32"/>
          <w:szCs w:val="32"/>
          <w:lang w:val="en-US" w:eastAsia="zh-CN"/>
        </w:rPr>
        <w:t xml:space="preserve"> 国务院办公厅印发&lt;关于全面推进政务公开工作的意见&gt;的通知</w:t>
      </w:r>
      <w:r>
        <w:rPr>
          <w:rFonts w:hint="eastAsia" w:ascii="仿宋" w:hAnsi="仿宋" w:eastAsia="仿宋" w:cs="仿宋"/>
          <w:color w:val="000000"/>
          <w:spacing w:val="0"/>
          <w:w w:val="100"/>
          <w:position w:val="0"/>
          <w:sz w:val="32"/>
          <w:szCs w:val="32"/>
          <w:lang w:eastAsia="zh-CN"/>
        </w:rPr>
        <w:t>》《国务院办公厅关于印发开展基层政务公开标准化规范化试点工作方案的通知》</w:t>
      </w:r>
      <w:r>
        <w:rPr>
          <w:rFonts w:hint="eastAsia" w:ascii="仿宋" w:hAnsi="仿宋" w:eastAsia="仿宋" w:cs="仿宋"/>
          <w:color w:val="000000"/>
          <w:spacing w:val="0"/>
          <w:w w:val="100"/>
          <w:position w:val="0"/>
          <w:sz w:val="32"/>
          <w:szCs w:val="32"/>
          <w:lang w:val="en-US" w:eastAsia="zh-CN"/>
        </w:rPr>
        <w:t>（国办发[2017]42号）有关要求，结合试点地区对公共文化服务领域基层政务公开探索实践情况，制定本指引。</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eastAsia="zh-CN"/>
        </w:rPr>
        <w:t>二</w:t>
      </w:r>
      <w:r>
        <w:rPr>
          <w:rFonts w:hint="eastAsia" w:ascii="黑体" w:hAnsi="黑体" w:eastAsia="黑体" w:cs="黑体"/>
          <w:color w:val="000000"/>
          <w:spacing w:val="0"/>
          <w:w w:val="100"/>
          <w:position w:val="0"/>
          <w:sz w:val="32"/>
          <w:szCs w:val="32"/>
        </w:rPr>
        <w:t>、指导思想</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以习近平新时代中国特色社会主义思想为指导，坚持以人民 为中心的发展思想，牢固树立新发展理念，围绕权力运行全流程、 政务服务全过程，积极推进公共文化服务领域基层政务公开标准 化规范化，用政府更加公开透明赢得人民群众对文化、文物工作更多理解、信任和支持。</w:t>
      </w:r>
      <w:bookmarkStart w:id="3" w:name="bookmark6"/>
    </w:p>
    <w:bookmarkEnd w:id="3"/>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eastAsia="zh-CN"/>
        </w:rPr>
        <w:t>三</w:t>
      </w:r>
      <w:r>
        <w:rPr>
          <w:rFonts w:hint="eastAsia" w:ascii="黑体" w:hAnsi="黑体" w:eastAsia="黑体" w:cs="黑体"/>
          <w:color w:val="000000"/>
          <w:spacing w:val="0"/>
          <w:w w:val="100"/>
          <w:position w:val="0"/>
          <w:sz w:val="32"/>
          <w:szCs w:val="32"/>
        </w:rPr>
        <w:t>、适用范围</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本指引适用于县（市</w:t>
      </w:r>
      <w:r>
        <w:rPr>
          <w:rFonts w:hint="eastAsia" w:ascii="仿宋" w:hAnsi="仿宋" w:eastAsia="仿宋" w:cs="仿宋"/>
          <w:color w:val="000000"/>
          <w:spacing w:val="0"/>
          <w:w w:val="100"/>
          <w:position w:val="0"/>
          <w:sz w:val="32"/>
          <w:szCs w:val="32"/>
          <w:lang w:eastAsia="zh-CN"/>
        </w:rPr>
        <w:t>辖区</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县级市</w:t>
      </w:r>
      <w:r>
        <w:rPr>
          <w:rFonts w:hint="eastAsia" w:ascii="仿宋" w:hAnsi="仿宋" w:eastAsia="仿宋" w:cs="仿宋"/>
          <w:color w:val="000000"/>
          <w:spacing w:val="0"/>
          <w:w w:val="100"/>
          <w:position w:val="0"/>
          <w:sz w:val="32"/>
          <w:szCs w:val="32"/>
        </w:rPr>
        <w:t>）文化广电和旅游局、文物局及洛阳市范围内法律法规授权的具有管理公共文化服务领域公共事务职能的组织或公共企事业单位组织开展政务公开工作。</w:t>
      </w:r>
      <w:bookmarkStart w:id="4" w:name="bookmark7"/>
    </w:p>
    <w:bookmarkEnd w:id="4"/>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eastAsia="zh-CN"/>
        </w:rPr>
        <w:t>四</w:t>
      </w:r>
      <w:r>
        <w:rPr>
          <w:rFonts w:hint="eastAsia" w:ascii="黑体" w:hAnsi="黑体" w:eastAsia="黑体" w:cs="黑体"/>
          <w:color w:val="000000"/>
          <w:spacing w:val="0"/>
          <w:w w:val="100"/>
          <w:position w:val="0"/>
          <w:sz w:val="32"/>
          <w:szCs w:val="32"/>
        </w:rPr>
        <w:t>、编制原则</w:t>
      </w:r>
      <w:bookmarkStart w:id="5" w:name="bookmark8"/>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rPr>
        <w:t>一）坚持依法依规。根据公共文化服务领域法律法规、行 政规章、规范性文件，全面梳理与群众关系密切的行政行为和服务事项</w:t>
      </w:r>
      <w:r>
        <w:rPr>
          <w:rFonts w:hint="eastAsia" w:ascii="仿宋" w:hAnsi="仿宋" w:eastAsia="仿宋" w:cs="仿宋"/>
          <w:color w:val="000000"/>
          <w:spacing w:val="0"/>
          <w:w w:val="100"/>
          <w:position w:val="0"/>
          <w:sz w:val="32"/>
          <w:szCs w:val="32"/>
          <w:lang w:eastAsia="zh-CN"/>
        </w:rPr>
        <w:t>（详见附件《公共文化服务领域基层政务公开标准目录》，简称《标准目录》）</w:t>
      </w:r>
      <w:r>
        <w:rPr>
          <w:rFonts w:hint="eastAsia" w:ascii="仿宋" w:hAnsi="仿宋" w:eastAsia="仿宋" w:cs="仿宋"/>
          <w:color w:val="000000"/>
          <w:spacing w:val="0"/>
          <w:w w:val="100"/>
          <w:position w:val="0"/>
          <w:sz w:val="32"/>
          <w:szCs w:val="32"/>
        </w:rPr>
        <w:t>，明确公开工作机制、流程、方式等规范及要求，维护群众合法权益。</w:t>
      </w:r>
      <w:bookmarkStart w:id="6" w:name="bookmark9"/>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w:t>
      </w:r>
      <w:bookmarkEnd w:id="6"/>
      <w:r>
        <w:rPr>
          <w:rFonts w:hint="eastAsia" w:ascii="仿宋" w:hAnsi="仿宋" w:eastAsia="仿宋" w:cs="仿宋"/>
          <w:color w:val="000000"/>
          <w:spacing w:val="0"/>
          <w:w w:val="100"/>
          <w:position w:val="0"/>
          <w:sz w:val="32"/>
          <w:szCs w:val="32"/>
        </w:rPr>
        <w:t>二）坚持利民便民。</w:t>
      </w:r>
      <w:bookmarkStart w:id="7" w:name="bookmark10"/>
      <w:r>
        <w:rPr>
          <w:rFonts w:hint="eastAsia" w:ascii="仿宋" w:hAnsi="仿宋" w:eastAsia="仿宋" w:cs="仿宋"/>
          <w:color w:val="000000"/>
          <w:spacing w:val="0"/>
          <w:w w:val="100"/>
          <w:position w:val="0"/>
          <w:sz w:val="32"/>
          <w:szCs w:val="32"/>
        </w:rPr>
        <w:t>立足基层文化和旅游、文物行政部门直接联系服务群众和企业的实际，结合部门工作特点，积极探索高效、便捷的公开方式，及时、准确公开需要大众广泛知晓的行政行为和服务事项信息，让群众看得到、听得懂、易获取、能监督、好参与。</w:t>
      </w:r>
      <w:bookmarkEnd w:id="7"/>
      <w:bookmarkStart w:id="8" w:name="bookmark11"/>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三）鼓励创新发展。支持各地结合区域、领域特点，将提升公共文化服务领域政务公开标准化规范化水平与推动政府职能转变、行政审批制度改革、“放管服”改革等对接融合，细化拓展政务公开内容，探索创新工作机制和方式方法。</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四）实施动态调整。根据法律法规规章的颁布、修改、废止、解释情况，机构、职能调整情况，基层具体实践情况及群众反馈意见建议，对政务公开标准目录进行动态调整和更新，不断适应文化、文物事业发展和人民群众需要。</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eastAsia="zh-CN"/>
        </w:rPr>
        <w:t>五</w:t>
      </w:r>
      <w:bookmarkEnd w:id="8"/>
      <w:r>
        <w:rPr>
          <w:rFonts w:hint="eastAsia" w:ascii="黑体" w:hAnsi="黑体" w:eastAsia="黑体" w:cs="黑体"/>
          <w:color w:val="000000"/>
          <w:spacing w:val="0"/>
          <w:w w:val="100"/>
          <w:position w:val="0"/>
          <w:sz w:val="32"/>
          <w:szCs w:val="32"/>
        </w:rPr>
        <w:t>、公开事项</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《标准目录》明确了公共文化服务领域行政许可、行政处罚、 行政强制、公共服务4个方面4</w:t>
      </w:r>
      <w:r>
        <w:rPr>
          <w:rFonts w:hint="eastAsia" w:ascii="仿宋" w:hAnsi="仿宋" w:eastAsia="仿宋" w:cs="仿宋"/>
          <w:color w:val="000000"/>
          <w:spacing w:val="0"/>
          <w:w w:val="100"/>
          <w:position w:val="0"/>
          <w:sz w:val="32"/>
          <w:szCs w:val="32"/>
          <w:lang w:val="en-US" w:eastAsia="zh-CN"/>
        </w:rPr>
        <w:t>6</w:t>
      </w:r>
      <w:r>
        <w:rPr>
          <w:rFonts w:hint="eastAsia" w:ascii="仿宋" w:hAnsi="仿宋" w:eastAsia="仿宋" w:cs="仿宋"/>
          <w:color w:val="000000"/>
          <w:spacing w:val="0"/>
          <w:w w:val="100"/>
          <w:position w:val="0"/>
          <w:sz w:val="32"/>
          <w:szCs w:val="32"/>
        </w:rPr>
        <w:t>项基层政务公开事项，规范了每一事项的公开内容、公开依据、公开时限、公开主体、公开渠道和载体、公开对象、公开方式和公开层级。各级相关部门单位应在《标准目录》基础上，结合本地区具体工作进行细化和补充完善。</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六、公开工作规范</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一）推动重点信息公开。基层政务公开主体应按照决策、执行、管理、服务、结果“五公开”工作要求，主动公开公共文化服务领域重大决策、重要政策落实情况及重点工作、重要工程项目执行措施、实施步骤、责任分工、进展成效等信息。根据部门事权和职能，公开职责权限、执法依据、裁量基准、执法流程、执法结果、救济途径等，规范行政裁量，促进执法公平公正。</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二）选择具有针对性的公开渠道。发挥文化馆（站）、图书馆、美术馆、博物馆等基层阵地优势，加大政策宣传力度，通过图表图解、音视频、动漫等形式作形象化、通俗化解读。重要行政行为和服务事项信息应通过基层政务服务中心、公开查阅点、便民服务站、社区/企事业单位/村公示栏等实体平台及政府网站予以公开。需要公众广泛知晓的信息应积极通过新闻发布会、报刊广电媒体、微博微信客户端等新媒体对外发布。对于针对特定群体的行政行为和服务事项，应探索实施精准推送。</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三）积极扩大公众参与。对直接影响群众利益、社会关注度高的重要改革方案、重大政策措施、重点建设项目等应公开征求意见，并认真研究吸纳、回应公众提出的相关建议。各级相关部门单位应建立健全政务舆情收集、会商、研判、回应、评估机制，明确舆情回应职责，围绕公众关切及时解疑释惑，发布权威信息。</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七、组织实施</w:t>
      </w:r>
    </w:p>
    <w:p>
      <w:pPr>
        <w:pStyle w:val="8"/>
        <w:widowControl w:val="0"/>
        <w:shd w:val="clear" w:color="auto" w:fill="auto"/>
        <w:wordWrap/>
        <w:adjustRightInd w:val="0"/>
        <w:snapToGrid w:val="0"/>
        <w:spacing w:before="0" w:after="0" w:line="600" w:lineRule="exact"/>
        <w:ind w:left="0" w:leftChars="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eastAsia="zh-CN"/>
        </w:rPr>
        <w:t>公共文化服务领域基层政务公开工作实行四级联动、协同推进的工作机制。文化和旅游部、国家文物局负责统筹协调、业务指导；省级文化和旅游、文物行政部门根据各地工作实际，负责指导监督、考核评估工作；市级文化和旅游、文物行政部门负责组织落实本辖区公共文化服务领域基层政务公开工作；县级及以下文化和旅游、文物行政部门，法律法规授权的具有管理公共文化服务领域公共事务职能的组织或公共企事业单位负责具体实施。</w:t>
      </w:r>
    </w:p>
    <w:p>
      <w:pPr>
        <w:pStyle w:val="8"/>
        <w:widowControl w:val="0"/>
        <w:shd w:val="clear" w:color="auto" w:fill="auto"/>
        <w:spacing w:before="0" w:after="0" w:line="240" w:lineRule="auto"/>
        <w:ind w:left="0" w:right="0"/>
        <w:jc w:val="both"/>
        <w:rPr>
          <w:rFonts w:hint="eastAsia" w:ascii="黑体" w:hAnsi="黑体" w:eastAsia="黑体" w:cs="黑体"/>
        </w:rPr>
      </w:pPr>
      <w:r>
        <w:rPr>
          <w:rFonts w:hint="eastAsia" w:ascii="黑体" w:hAnsi="黑体" w:eastAsia="黑体" w:cs="黑体"/>
          <w:color w:val="000000"/>
          <w:spacing w:val="0"/>
          <w:w w:val="100"/>
          <w:position w:val="0"/>
          <w:lang w:eastAsia="zh-CN"/>
        </w:rPr>
        <w:t>八</w:t>
      </w:r>
      <w:r>
        <w:rPr>
          <w:rFonts w:hint="eastAsia" w:ascii="黑体" w:hAnsi="黑体" w:eastAsia="黑体" w:cs="黑体"/>
          <w:color w:val="000000"/>
          <w:spacing w:val="0"/>
          <w:w w:val="100"/>
          <w:position w:val="0"/>
        </w:rPr>
        <w:t>、保障措施</w:t>
      </w:r>
    </w:p>
    <w:p>
      <w:pPr>
        <w:pStyle w:val="5"/>
        <w:widowControl w:val="0"/>
        <w:shd w:val="clear" w:color="auto" w:fill="auto"/>
        <w:wordWrap/>
        <w:adjustRightInd w:val="0"/>
        <w:snapToGrid w:val="0"/>
        <w:spacing w:before="0" w:after="0" w:line="600" w:lineRule="exact"/>
        <w:ind w:left="0" w:leftChars="0" w:right="0" w:firstLine="640"/>
        <w:jc w:val="both"/>
        <w:textAlignment w:val="auto"/>
        <w:outlineLvl w:val="9"/>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从2021年起，公共文化服务领域基层政务公开落实情况纳入 各地公共文化服务体系建设绩效考核内容。市文化广电和旅游 局、文物局要对政务公开工作进行督促指导及跟踪评估，并将结果在适当范</w:t>
      </w:r>
      <w:bookmarkStart w:id="9" w:name="_GoBack"/>
      <w:bookmarkEnd w:id="9"/>
      <w:r>
        <w:rPr>
          <w:rFonts w:hint="eastAsia" w:ascii="仿宋" w:hAnsi="仿宋" w:eastAsia="仿宋" w:cs="仿宋"/>
          <w:color w:val="000000"/>
          <w:spacing w:val="0"/>
          <w:w w:val="100"/>
          <w:position w:val="0"/>
          <w:sz w:val="32"/>
          <w:szCs w:val="32"/>
        </w:rPr>
        <w:t>围内进行通报，确保有序推进、取得实效。</w:t>
      </w:r>
    </w:p>
    <w:p>
      <w:pPr>
        <w:pStyle w:val="5"/>
        <w:widowControl w:val="0"/>
        <w:shd w:val="clear" w:color="auto" w:fill="auto"/>
        <w:wordWrap/>
        <w:adjustRightInd w:val="0"/>
        <w:snapToGrid w:val="0"/>
        <w:spacing w:before="0" w:after="0" w:line="200" w:lineRule="exact"/>
        <w:ind w:left="0" w:leftChars="0" w:right="0" w:firstLine="640" w:firstLineChars="0"/>
        <w:jc w:val="both"/>
        <w:textAlignment w:val="auto"/>
        <w:outlineLvl w:val="9"/>
        <w:rPr>
          <w:rFonts w:hint="eastAsia" w:ascii="仿宋" w:hAnsi="仿宋" w:eastAsia="仿宋" w:cs="仿宋"/>
          <w:color w:val="000000"/>
          <w:spacing w:val="0"/>
          <w:w w:val="100"/>
          <w:position w:val="0"/>
          <w:sz w:val="32"/>
          <w:szCs w:val="32"/>
        </w:rPr>
      </w:pPr>
    </w:p>
    <w:p>
      <w:pPr>
        <w:pStyle w:val="5"/>
        <w:widowControl w:val="0"/>
        <w:shd w:val="clear" w:color="auto" w:fill="auto"/>
        <w:wordWrap/>
        <w:adjustRightInd w:val="0"/>
        <w:snapToGrid w:val="0"/>
        <w:spacing w:before="0" w:after="0" w:line="200" w:lineRule="exact"/>
        <w:ind w:left="0" w:leftChars="0" w:right="0" w:firstLine="640" w:firstLineChars="0"/>
        <w:jc w:val="both"/>
        <w:textAlignment w:val="auto"/>
        <w:outlineLvl w:val="9"/>
        <w:rPr>
          <w:rFonts w:hint="eastAsia" w:ascii="仿宋" w:hAnsi="仿宋" w:eastAsia="仿宋" w:cs="仿宋"/>
          <w:color w:val="000000"/>
          <w:spacing w:val="0"/>
          <w:w w:val="100"/>
          <w:position w:val="0"/>
          <w:sz w:val="32"/>
          <w:szCs w:val="32"/>
        </w:rPr>
      </w:pPr>
    </w:p>
    <w:p>
      <w:pPr>
        <w:pStyle w:val="5"/>
        <w:widowControl w:val="0"/>
        <w:shd w:val="clear" w:color="auto" w:fill="auto"/>
        <w:wordWrap/>
        <w:adjustRightInd w:val="0"/>
        <w:snapToGrid w:val="0"/>
        <w:spacing w:before="0" w:after="0" w:line="500" w:lineRule="exact"/>
        <w:ind w:left="0" w:leftChars="0" w:right="0" w:firstLine="0" w:firstLineChars="0"/>
        <w:jc w:val="both"/>
        <w:textAlignment w:val="auto"/>
        <w:outlineLvl w:val="9"/>
        <w:rPr>
          <w:rFonts w:hint="eastAsia" w:ascii="仿宋" w:hAnsi="仿宋" w:eastAsia="仿宋" w:cs="仿宋"/>
          <w:color w:val="000000"/>
          <w:spacing w:val="0"/>
          <w:w w:val="100"/>
          <w:position w:val="0"/>
          <w:sz w:val="24"/>
          <w:szCs w:val="24"/>
        </w:rPr>
      </w:pPr>
      <w:r>
        <w:rPr>
          <w:rFonts w:hint="eastAsia" w:ascii="仿宋" w:hAnsi="仿宋" w:eastAsia="仿宋" w:cs="仿宋"/>
          <w:color w:val="auto"/>
          <w:sz w:val="24"/>
          <w:szCs w:val="24"/>
        </w:rPr>
        <w:t>附件：</w:t>
      </w:r>
      <w:r>
        <w:rPr>
          <w:rFonts w:hint="eastAsia" w:ascii="仿宋" w:hAnsi="仿宋" w:eastAsia="仿宋" w:cs="仿宋"/>
          <w:sz w:val="24"/>
          <w:szCs w:val="24"/>
          <w:lang w:eastAsia="zh-CN"/>
        </w:rPr>
        <w:t>瀍河回族区公共文化服务领域基层政务公开标准目录</w:t>
      </w:r>
    </w:p>
    <w:p>
      <w:pPr>
        <w:pStyle w:val="5"/>
        <w:widowControl w:val="0"/>
        <w:shd w:val="clear" w:color="auto" w:fill="auto"/>
        <w:spacing w:before="0" w:after="100" w:line="602" w:lineRule="exact"/>
        <w:ind w:left="0" w:right="0" w:firstLine="640"/>
        <w:jc w:val="right"/>
        <w:rPr>
          <w:rFonts w:hint="eastAsia" w:ascii="仿宋" w:hAnsi="仿宋" w:eastAsia="仿宋" w:cs="仿宋"/>
          <w:color w:val="000000"/>
          <w:spacing w:val="0"/>
          <w:w w:val="100"/>
          <w:position w:val="0"/>
          <w:sz w:val="32"/>
          <w:szCs w:val="32"/>
          <w:lang w:eastAsia="zh-CN"/>
        </w:rPr>
      </w:pPr>
    </w:p>
    <w:p>
      <w:pPr>
        <w:pStyle w:val="5"/>
        <w:widowControl w:val="0"/>
        <w:shd w:val="clear" w:color="auto" w:fill="auto"/>
        <w:spacing w:before="0" w:after="100" w:line="602" w:lineRule="exact"/>
        <w:ind w:left="0" w:right="0" w:firstLine="640"/>
        <w:jc w:val="center"/>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lang w:eastAsia="zh-CN"/>
        </w:rPr>
        <w:t>瀍河回族区文化和旅游局</w:t>
      </w:r>
    </w:p>
    <w:p>
      <w:pPr>
        <w:pStyle w:val="5"/>
        <w:widowControl w:val="0"/>
        <w:shd w:val="clear" w:color="auto" w:fill="auto"/>
        <w:spacing w:before="0" w:after="100" w:line="602" w:lineRule="exact"/>
        <w:ind w:left="0" w:right="0" w:firstLine="640"/>
        <w:jc w:val="center"/>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 xml:space="preserve">                   2020年10月</w:t>
      </w:r>
    </w:p>
    <w:sectPr>
      <w:footnotePr>
        <w:numFmt w:val="decimal"/>
      </w:footnotePr>
      <w:pgSz w:w="11900" w:h="16840"/>
      <w:pgMar w:top="1878" w:right="1428" w:bottom="1760" w:left="1559" w:header="0" w:footer="3" w:gutter="0"/>
      <w:paperSrc w:first="0" w:other="0"/>
      <w:cols w:space="720" w:num="1"/>
      <w:rtlGutter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displayHorizontalDrawingGridEvery w:val="1"/>
  <w:displayVerticalDrawingGridEvery w:val="1"/>
  <w:characterSpacingControl w:val="compressPunctuation"/>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shd w:val="clear" w:color="auto" w:fill="auto"/>
      <w:spacing w:before="0" w:after="0" w:line="240" w:lineRule="auto"/>
      <w:ind w:left="0" w:right="0" w:firstLine="0"/>
      <w:jc w:val="left"/>
    </w:pPr>
    <w:rPr>
      <w:rFonts w:ascii="Times New Roman" w:hAnsi="Times New Roman" w:eastAsia="宋体" w:cs="Times New Roman"/>
      <w:color w:val="000000"/>
      <w:spacing w:val="0"/>
      <w:w w:val="100"/>
      <w:position w:val="0"/>
      <w:sz w:val="24"/>
      <w:szCs w:val="24"/>
      <w:shd w:val="clear" w:color="auto" w:fill="auto"/>
      <w:lang w:val="en-US" w:eastAsia="en-US" w:bidi="en-US"/>
    </w:rPr>
  </w:style>
  <w:style w:type="character" w:default="1" w:styleId="2">
    <w:name w:val="Default Paragraph Font"/>
    <w:uiPriority w:val="0"/>
    <w:rPr>
      <w:color w:val="000000"/>
      <w:spacing w:val="0"/>
      <w:w w:val="100"/>
      <w:position w:val="0"/>
      <w:sz w:val="24"/>
      <w:szCs w:val="24"/>
      <w:shd w:val="clear" w:color="auto" w:fill="auto"/>
      <w:lang w:val="en-US" w:eastAsia="en-US" w:bidi="en-US"/>
    </w:rPr>
  </w:style>
  <w:style w:type="paragraph" w:customStyle="1" w:styleId="3">
    <w:name w:val="Heading #1|1"/>
    <w:basedOn w:val="1"/>
    <w:link w:val="12"/>
    <w:uiPriority w:val="0"/>
    <w:pPr>
      <w:widowControl w:val="0"/>
      <w:shd w:val="clear" w:color="auto" w:fill="auto"/>
      <w:spacing w:after="1080" w:line="974" w:lineRule="exact"/>
      <w:outlineLvl w:val="0"/>
    </w:pPr>
    <w:rPr>
      <w:color w:val="F47979"/>
      <w:sz w:val="66"/>
      <w:szCs w:val="66"/>
      <w:u w:val="none"/>
      <w:shd w:val="clear" w:color="auto" w:fill="auto"/>
      <w:lang w:val="zh-TW" w:eastAsia="zh-TW" w:bidi="zh-TW"/>
    </w:rPr>
  </w:style>
  <w:style w:type="paragraph" w:customStyle="1" w:styleId="4">
    <w:name w:val="Header or footer|2"/>
    <w:basedOn w:val="1"/>
    <w:link w:val="13"/>
    <w:uiPriority w:val="0"/>
    <w:pPr>
      <w:widowControl w:val="0"/>
      <w:shd w:val="clear" w:color="auto" w:fill="auto"/>
    </w:pPr>
    <w:rPr>
      <w:sz w:val="20"/>
      <w:szCs w:val="20"/>
      <w:u w:val="none"/>
      <w:shd w:val="clear" w:color="auto" w:fill="auto"/>
      <w:lang w:val="zh-TW" w:eastAsia="zh-TW" w:bidi="zh-TW"/>
    </w:rPr>
  </w:style>
  <w:style w:type="paragraph" w:customStyle="1" w:styleId="5">
    <w:name w:val="Body text|1"/>
    <w:basedOn w:val="1"/>
    <w:link w:val="14"/>
    <w:uiPriority w:val="0"/>
    <w:pPr>
      <w:widowControl w:val="0"/>
      <w:shd w:val="clear" w:color="auto" w:fill="auto"/>
      <w:spacing w:line="442" w:lineRule="auto"/>
      <w:ind w:firstLine="400"/>
    </w:pPr>
    <w:rPr>
      <w:sz w:val="28"/>
      <w:szCs w:val="28"/>
      <w:u w:val="none"/>
      <w:shd w:val="clear" w:color="auto" w:fill="auto"/>
      <w:lang w:val="zh-TW" w:eastAsia="zh-TW" w:bidi="zh-TW"/>
    </w:rPr>
  </w:style>
  <w:style w:type="paragraph" w:customStyle="1" w:styleId="6">
    <w:name w:val="Body text|2"/>
    <w:basedOn w:val="1"/>
    <w:link w:val="15"/>
    <w:uiPriority w:val="0"/>
    <w:pPr>
      <w:widowControl w:val="0"/>
      <w:shd w:val="clear" w:color="auto" w:fill="auto"/>
      <w:spacing w:after="580" w:line="701" w:lineRule="exact"/>
      <w:jc w:val="center"/>
    </w:pPr>
    <w:rPr>
      <w:sz w:val="42"/>
      <w:szCs w:val="42"/>
      <w:u w:val="none"/>
      <w:shd w:val="clear" w:color="auto" w:fill="auto"/>
      <w:lang w:val="zh-TW" w:eastAsia="zh-TW" w:bidi="zh-TW"/>
    </w:rPr>
  </w:style>
  <w:style w:type="paragraph" w:customStyle="1" w:styleId="7">
    <w:name w:val="Heading #2|1"/>
    <w:basedOn w:val="1"/>
    <w:link w:val="16"/>
    <w:uiPriority w:val="0"/>
    <w:pPr>
      <w:widowControl w:val="0"/>
      <w:shd w:val="clear" w:color="auto" w:fill="auto"/>
      <w:spacing w:before="620" w:after="520" w:line="595" w:lineRule="exact"/>
      <w:jc w:val="center"/>
      <w:outlineLvl w:val="1"/>
    </w:pPr>
    <w:rPr>
      <w:sz w:val="42"/>
      <w:szCs w:val="42"/>
      <w:u w:val="none"/>
      <w:shd w:val="clear" w:color="auto" w:fill="auto"/>
      <w:lang w:val="zh-TW" w:eastAsia="zh-TW" w:bidi="zh-TW"/>
    </w:rPr>
  </w:style>
  <w:style w:type="paragraph" w:customStyle="1" w:styleId="8">
    <w:name w:val="Body text|3"/>
    <w:basedOn w:val="1"/>
    <w:link w:val="17"/>
    <w:uiPriority w:val="0"/>
    <w:pPr>
      <w:widowControl w:val="0"/>
      <w:shd w:val="clear" w:color="auto" w:fill="auto"/>
      <w:spacing w:line="591" w:lineRule="exact"/>
      <w:ind w:firstLine="640"/>
    </w:pPr>
    <w:rPr>
      <w:sz w:val="32"/>
      <w:szCs w:val="32"/>
      <w:u w:val="none"/>
      <w:shd w:val="clear" w:color="auto" w:fill="auto"/>
      <w:lang w:val="zh-TW" w:eastAsia="zh-TW" w:bidi="zh-TW"/>
    </w:rPr>
  </w:style>
  <w:style w:type="paragraph" w:customStyle="1" w:styleId="9">
    <w:name w:val="Other|1"/>
    <w:basedOn w:val="1"/>
    <w:link w:val="18"/>
    <w:uiPriority w:val="0"/>
    <w:pPr>
      <w:widowControl w:val="0"/>
      <w:shd w:val="clear" w:color="auto" w:fill="auto"/>
      <w:spacing w:line="250" w:lineRule="exact"/>
    </w:pPr>
    <w:rPr>
      <w:sz w:val="18"/>
      <w:szCs w:val="18"/>
      <w:u w:val="none"/>
      <w:shd w:val="clear" w:color="auto" w:fill="auto"/>
      <w:lang w:val="zh-TW" w:eastAsia="zh-TW" w:bidi="zh-TW"/>
    </w:rPr>
  </w:style>
  <w:style w:type="paragraph" w:customStyle="1" w:styleId="10">
    <w:name w:val="Other|2"/>
    <w:basedOn w:val="1"/>
    <w:link w:val="19"/>
    <w:uiPriority w:val="0"/>
    <w:pPr>
      <w:widowControl w:val="0"/>
      <w:shd w:val="clear" w:color="auto" w:fill="auto"/>
    </w:pPr>
    <w:rPr>
      <w:sz w:val="80"/>
      <w:szCs w:val="80"/>
      <w:u w:val="none"/>
      <w:shd w:val="clear" w:color="auto" w:fill="auto"/>
    </w:rPr>
  </w:style>
  <w:style w:type="paragraph" w:customStyle="1" w:styleId="11">
    <w:name w:val="Body text|4"/>
    <w:basedOn w:val="1"/>
    <w:link w:val="20"/>
    <w:uiPriority w:val="0"/>
    <w:pPr>
      <w:widowControl w:val="0"/>
      <w:shd w:val="clear" w:color="auto" w:fill="auto"/>
      <w:jc w:val="center"/>
    </w:pPr>
    <w:rPr>
      <w:sz w:val="28"/>
      <w:szCs w:val="28"/>
      <w:u w:val="none"/>
      <w:shd w:val="clear" w:color="auto" w:fill="auto"/>
      <w:lang w:val="zh-TW" w:eastAsia="zh-TW" w:bidi="zh-TW"/>
    </w:rPr>
  </w:style>
  <w:style w:type="character" w:customStyle="1" w:styleId="12">
    <w:name w:val="Heading #1|1_"/>
    <w:basedOn w:val="2"/>
    <w:link w:val="3"/>
    <w:uiPriority w:val="0"/>
    <w:rPr>
      <w:color w:val="F47979"/>
      <w:sz w:val="66"/>
      <w:szCs w:val="66"/>
      <w:u w:val="none"/>
      <w:shd w:val="clear" w:color="auto" w:fill="auto"/>
      <w:lang w:val="zh-TW" w:eastAsia="zh-TW" w:bidi="zh-TW"/>
    </w:rPr>
  </w:style>
  <w:style w:type="character" w:customStyle="1" w:styleId="13">
    <w:name w:val="Header or footer|2_"/>
    <w:basedOn w:val="2"/>
    <w:link w:val="4"/>
    <w:uiPriority w:val="0"/>
    <w:rPr>
      <w:sz w:val="20"/>
      <w:szCs w:val="20"/>
      <w:u w:val="none"/>
      <w:shd w:val="clear" w:color="auto" w:fill="auto"/>
      <w:lang w:val="zh-TW" w:eastAsia="zh-TW" w:bidi="zh-TW"/>
    </w:rPr>
  </w:style>
  <w:style w:type="character" w:customStyle="1" w:styleId="14">
    <w:name w:val="Body text|1_"/>
    <w:basedOn w:val="2"/>
    <w:link w:val="5"/>
    <w:uiPriority w:val="0"/>
    <w:rPr>
      <w:sz w:val="28"/>
      <w:szCs w:val="28"/>
      <w:u w:val="none"/>
      <w:shd w:val="clear" w:color="auto" w:fill="auto"/>
      <w:lang w:val="zh-TW" w:eastAsia="zh-TW" w:bidi="zh-TW"/>
    </w:rPr>
  </w:style>
  <w:style w:type="character" w:customStyle="1" w:styleId="15">
    <w:name w:val="Body text|2_"/>
    <w:basedOn w:val="2"/>
    <w:link w:val="6"/>
    <w:uiPriority w:val="0"/>
    <w:rPr>
      <w:sz w:val="42"/>
      <w:szCs w:val="42"/>
      <w:u w:val="none"/>
      <w:shd w:val="clear" w:color="auto" w:fill="auto"/>
      <w:lang w:val="zh-TW" w:eastAsia="zh-TW" w:bidi="zh-TW"/>
    </w:rPr>
  </w:style>
  <w:style w:type="character" w:customStyle="1" w:styleId="16">
    <w:name w:val="Heading #2|1_"/>
    <w:basedOn w:val="2"/>
    <w:link w:val="7"/>
    <w:uiPriority w:val="0"/>
    <w:rPr>
      <w:sz w:val="42"/>
      <w:szCs w:val="42"/>
      <w:u w:val="none"/>
      <w:shd w:val="clear" w:color="auto" w:fill="auto"/>
      <w:lang w:val="zh-TW" w:eastAsia="zh-TW" w:bidi="zh-TW"/>
    </w:rPr>
  </w:style>
  <w:style w:type="character" w:customStyle="1" w:styleId="17">
    <w:name w:val="Body text|3_"/>
    <w:basedOn w:val="2"/>
    <w:link w:val="8"/>
    <w:uiPriority w:val="0"/>
    <w:rPr>
      <w:sz w:val="32"/>
      <w:szCs w:val="32"/>
      <w:u w:val="none"/>
      <w:shd w:val="clear" w:color="auto" w:fill="auto"/>
      <w:lang w:val="zh-TW" w:eastAsia="zh-TW" w:bidi="zh-TW"/>
    </w:rPr>
  </w:style>
  <w:style w:type="character" w:customStyle="1" w:styleId="18">
    <w:name w:val="Other|1_"/>
    <w:basedOn w:val="2"/>
    <w:link w:val="9"/>
    <w:uiPriority w:val="0"/>
    <w:rPr>
      <w:sz w:val="18"/>
      <w:szCs w:val="18"/>
      <w:u w:val="none"/>
      <w:shd w:val="clear" w:color="auto" w:fill="auto"/>
      <w:lang w:val="zh-TW" w:eastAsia="zh-TW" w:bidi="zh-TW"/>
    </w:rPr>
  </w:style>
  <w:style w:type="character" w:customStyle="1" w:styleId="19">
    <w:name w:val="Other|2_"/>
    <w:basedOn w:val="2"/>
    <w:link w:val="10"/>
    <w:uiPriority w:val="0"/>
    <w:rPr>
      <w:sz w:val="80"/>
      <w:szCs w:val="80"/>
      <w:u w:val="none"/>
      <w:shd w:val="clear" w:color="auto" w:fill="auto"/>
    </w:rPr>
  </w:style>
  <w:style w:type="character" w:customStyle="1" w:styleId="20">
    <w:name w:val="Body text|4_"/>
    <w:basedOn w:val="2"/>
    <w:link w:val="11"/>
    <w:uiPriority w:val="0"/>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2020-11-17T10:32:00Z</dcterms:created>
  <dc:creator>Administrator</dc:creator>
  <cp:lastModifiedBy>PC-MIAO</cp:lastModifiedBy>
  <cp:lastPrinted>2020-11-20T09:55:46Z</cp:lastPrinted>
  <dcterms:modified xsi:type="dcterms:W3CDTF">2020-11-20T09:55:56Z</dcterms:modified>
  <dc:title>&lt;4D6963726F736F667420576F7264202D20B9D8D3DAC8ABC3E6C2E4CAB5B9ABB9B2B7FECEF1C1ECD3F2BBF9B2E3D5FECEF1B9ABBFAAB1EAD7BCD6B8D2FDBACDB9ABB9B2B7FECEF1C1ECD3F2BBF9B2E3D5FECEF1B9ABBFAAB1EAD7BCC4BFC2BCB5C4CDA8D6AA2E646F63&gt;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