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2022年执法案件登记表</w:t>
      </w:r>
      <w:bookmarkEnd w:id="0"/>
    </w:p>
    <w:tbl>
      <w:tblPr>
        <w:tblStyle w:val="3"/>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225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12258"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案件名称</w:t>
            </w:r>
          </w:p>
        </w:tc>
        <w:tc>
          <w:tcPr>
            <w:tcW w:w="1113"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12258" w:type="dxa"/>
          </w:tcPr>
          <w:p>
            <w:pPr>
              <w:spacing w:line="48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sz w:val="24"/>
                <w:szCs w:val="24"/>
                <w:u w:val="none"/>
                <w:lang w:eastAsia="zh-CN"/>
              </w:rPr>
              <w:t>洛阳事通钢结构工程有限公司</w:t>
            </w:r>
            <w:r>
              <w:rPr>
                <w:rFonts w:hint="eastAsia" w:ascii="仿宋_GB2312" w:hAnsi="仿宋_GB2312" w:eastAsia="仿宋_GB2312" w:cs="仿宋_GB2312"/>
                <w:b w:val="0"/>
                <w:bCs w:val="0"/>
                <w:i w:val="0"/>
                <w:color w:val="000000"/>
                <w:kern w:val="0"/>
                <w:sz w:val="24"/>
                <w:szCs w:val="24"/>
                <w:u w:val="none"/>
                <w:lang w:val="en-US" w:eastAsia="zh-CN" w:bidi="ar"/>
              </w:rPr>
              <w:t>特种作业人员未按照规定经专门的安 全作业培训并取得相应资格，上岗作业案</w:t>
            </w:r>
          </w:p>
        </w:tc>
        <w:tc>
          <w:tcPr>
            <w:tcW w:w="1113"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12258" w:type="dxa"/>
          </w:tcPr>
          <w:p>
            <w:pPr>
              <w:spacing w:line="48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4"/>
                <w:szCs w:val="24"/>
                <w:u w:val="none" w:color="auto"/>
                <w:lang w:eastAsia="zh-CN"/>
              </w:rPr>
              <w:t>河南宝航装饰工程有限公司</w:t>
            </w:r>
            <w:r>
              <w:rPr>
                <w:rFonts w:hint="eastAsia" w:ascii="仿宋_GB2312" w:hAnsi="仿宋_GB2312" w:eastAsia="仿宋_GB2312" w:cs="仿宋_GB2312"/>
                <w:b w:val="0"/>
                <w:bCs w:val="0"/>
                <w:i w:val="0"/>
                <w:color w:val="000000"/>
                <w:kern w:val="0"/>
                <w:sz w:val="24"/>
                <w:szCs w:val="24"/>
                <w:u w:val="none" w:color="auto"/>
                <w:lang w:val="en-US" w:eastAsia="zh-CN" w:bidi="ar"/>
              </w:rPr>
              <w:t>特种作业人员未按照规定经专门的安全作业培训并取得相应资格，上岗作业案</w:t>
            </w:r>
            <w:r>
              <w:rPr>
                <w:rFonts w:hint="eastAsia" w:ascii="仿宋_GB2312" w:hAnsi="仿宋_GB2312" w:eastAsia="仿宋_GB2312" w:cs="仿宋_GB2312"/>
                <w:b w:val="0"/>
                <w:bCs w:val="0"/>
                <w:sz w:val="24"/>
                <w:szCs w:val="24"/>
                <w:u w:val="none" w:color="auto"/>
                <w:vertAlign w:val="baseline"/>
                <w:lang w:val="en-US" w:eastAsia="zh-CN"/>
              </w:rPr>
              <w:t>结案</w:t>
            </w:r>
          </w:p>
        </w:tc>
        <w:tc>
          <w:tcPr>
            <w:tcW w:w="1113" w:type="dxa"/>
          </w:tcPr>
          <w:p>
            <w:pPr>
              <w:spacing w:line="480" w:lineRule="auto"/>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12258"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u w:val="none"/>
                <w:lang w:eastAsia="zh-CN"/>
              </w:rPr>
              <w:t>洛阳天骄混凝土有限公司储存危险物品储罐建设项目未按照有关规定进行安全评价案</w:t>
            </w:r>
          </w:p>
        </w:tc>
        <w:tc>
          <w:tcPr>
            <w:tcW w:w="1113"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12258"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u w:val="none"/>
                <w:lang w:eastAsia="zh-CN"/>
              </w:rPr>
              <w:t>洛阳机床有限责任公司未为从业人员提供符合国家标准或者行业标准的劳动防护用品</w:t>
            </w:r>
            <w:r>
              <w:rPr>
                <w:rFonts w:hint="eastAsia" w:ascii="仿宋_GB2312" w:hAnsi="仿宋_GB2312" w:eastAsia="仿宋_GB2312" w:cs="仿宋_GB2312"/>
                <w:b w:val="0"/>
                <w:bCs w:val="0"/>
                <w:i w:val="0"/>
                <w:color w:val="000000"/>
                <w:kern w:val="0"/>
                <w:sz w:val="24"/>
                <w:szCs w:val="24"/>
                <w:u w:val="none"/>
                <w:lang w:val="en-US" w:eastAsia="zh-CN" w:bidi="ar"/>
              </w:rPr>
              <w:t>案</w:t>
            </w:r>
          </w:p>
        </w:tc>
        <w:tc>
          <w:tcPr>
            <w:tcW w:w="1113"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0.5万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12258"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u w:val="none" w:color="auto"/>
                <w:lang w:eastAsia="zh-CN"/>
              </w:rPr>
              <w:t>洛阳市瀍河区江潮淀粉副食批发部</w:t>
            </w:r>
            <w:r>
              <w:rPr>
                <w:rFonts w:hint="eastAsia" w:ascii="仿宋_GB2312" w:hAnsi="仿宋_GB2312" w:eastAsia="仿宋_GB2312" w:cs="仿宋_GB2312"/>
                <w:b w:val="0"/>
                <w:bCs w:val="0"/>
                <w:i w:val="0"/>
                <w:color w:val="000000"/>
                <w:spacing w:val="0"/>
                <w:kern w:val="0"/>
                <w:sz w:val="24"/>
                <w:szCs w:val="24"/>
                <w:u w:val="none" w:color="auto"/>
                <w:lang w:val="en-US" w:eastAsia="zh-CN" w:bidi="ar"/>
              </w:rPr>
              <w:t>未如实记录安全生产教育和培训</w:t>
            </w:r>
            <w:r>
              <w:rPr>
                <w:rFonts w:hint="eastAsia" w:ascii="仿宋_GB2312" w:hAnsi="仿宋_GB2312" w:eastAsia="仿宋_GB2312" w:cs="仿宋_GB2312"/>
                <w:b w:val="0"/>
                <w:bCs w:val="0"/>
                <w:i w:val="0"/>
                <w:color w:val="000000"/>
                <w:kern w:val="0"/>
                <w:sz w:val="24"/>
                <w:szCs w:val="24"/>
                <w:u w:val="none" w:color="auto"/>
                <w:lang w:val="en-US" w:eastAsia="zh-CN" w:bidi="ar"/>
              </w:rPr>
              <w:t>案</w:t>
            </w:r>
          </w:p>
        </w:tc>
        <w:tc>
          <w:tcPr>
            <w:tcW w:w="1113" w:type="dxa"/>
          </w:tcPr>
          <w:p>
            <w:pPr>
              <w:spacing w:line="480" w:lineRule="auto"/>
              <w:jc w:val="cente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2258"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113" w:type="dxa"/>
          </w:tcPr>
          <w:p>
            <w:pPr>
              <w:spacing w:line="480" w:lineRule="auto"/>
              <w:jc w:val="center"/>
              <w:rPr>
                <w:rFonts w:hint="eastAsia" w:ascii="仿宋_GB2312" w:hAnsi="仿宋_GB2312" w:eastAsia="仿宋_GB2312" w:cs="仿宋_GB231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113" w:type="dxa"/>
            <w:vAlign w:val="top"/>
          </w:tcPr>
          <w:p>
            <w:pPr>
              <w:spacing w:line="480" w:lineRule="auto"/>
              <w:jc w:val="center"/>
              <w:rPr>
                <w:rFonts w:hint="eastAsia" w:ascii="仿宋_GB2312" w:hAnsi="仿宋_GB2312" w:eastAsia="仿宋_GB2312" w:cs="仿宋_GB2312"/>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113"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113"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113"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2258"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c>
          <w:tcPr>
            <w:tcW w:w="1113" w:type="dxa"/>
            <w:vAlign w:val="top"/>
          </w:tcPr>
          <w:p>
            <w:pPr>
              <w:spacing w:line="480" w:lineRule="auto"/>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b w:val="0"/>
                <w:bCs w:val="0"/>
                <w:sz w:val="28"/>
                <w:szCs w:val="28"/>
                <w:vertAlign w:val="baseline"/>
                <w:lang w:val="en-US" w:eastAsia="zh-CN"/>
              </w:rPr>
            </w:pPr>
          </w:p>
        </w:tc>
        <w:tc>
          <w:tcPr>
            <w:tcW w:w="1113" w:type="dxa"/>
            <w:vAlign w:val="top"/>
          </w:tcPr>
          <w:p>
            <w:pPr>
              <w:jc w:val="center"/>
              <w:rPr>
                <w:rFonts w:hint="eastAsia" w:ascii="仿宋_GB2312" w:hAnsi="仿宋_GB2312" w:eastAsia="仿宋_GB2312" w:cs="仿宋_GB2312"/>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sz w:val="28"/>
                <w:szCs w:val="28"/>
                <w:u w:val="none"/>
                <w:lang w:val="en-US" w:eastAsia="zh-CN"/>
              </w:rPr>
            </w:pPr>
          </w:p>
        </w:tc>
        <w:tc>
          <w:tcPr>
            <w:tcW w:w="1113" w:type="dxa"/>
            <w:vAlign w:val="top"/>
          </w:tcPr>
          <w:p>
            <w:pPr>
              <w:jc w:val="center"/>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sz w:val="28"/>
                <w:szCs w:val="28"/>
                <w:u w:val="none"/>
                <w:lang w:val="en-US" w:eastAsia="zh-CN"/>
              </w:rPr>
            </w:pPr>
          </w:p>
        </w:tc>
        <w:tc>
          <w:tcPr>
            <w:tcW w:w="1113" w:type="dxa"/>
            <w:vAlign w:val="top"/>
          </w:tcPr>
          <w:p>
            <w:pPr>
              <w:jc w:val="center"/>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sz w:val="28"/>
                <w:szCs w:val="28"/>
                <w:u w:val="none"/>
                <w:lang w:val="en-US" w:eastAsia="zh-CN"/>
              </w:rPr>
            </w:pPr>
          </w:p>
        </w:tc>
        <w:tc>
          <w:tcPr>
            <w:tcW w:w="1113" w:type="dxa"/>
            <w:vAlign w:val="top"/>
          </w:tcPr>
          <w:p>
            <w:pPr>
              <w:jc w:val="center"/>
              <w:rPr>
                <w:rFonts w:hint="eastAsia" w:ascii="仿宋_GB2312" w:hAnsi="仿宋_GB2312" w:eastAsia="仿宋_GB2312" w:cs="仿宋_GB2312"/>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79" w:type="dxa"/>
          </w:tcPr>
          <w:p>
            <w:pPr>
              <w:jc w:val="center"/>
              <w:rPr>
                <w:rFonts w:hint="eastAsia" w:ascii="仿宋_GB2312" w:hAnsi="仿宋_GB2312" w:eastAsia="仿宋_GB2312" w:cs="仿宋_GB2312"/>
                <w:b/>
                <w:bCs/>
                <w:sz w:val="28"/>
                <w:szCs w:val="28"/>
                <w:vertAlign w:val="baseline"/>
                <w:lang w:val="en-US" w:eastAsia="zh-CN"/>
              </w:rPr>
            </w:pPr>
          </w:p>
        </w:tc>
        <w:tc>
          <w:tcPr>
            <w:tcW w:w="12258" w:type="dxa"/>
            <w:vAlign w:val="top"/>
          </w:tcPr>
          <w:p>
            <w:pPr>
              <w:jc w:val="center"/>
              <w:rPr>
                <w:rFonts w:hint="eastAsia" w:ascii="仿宋_GB2312" w:hAnsi="仿宋_GB2312" w:eastAsia="仿宋_GB2312" w:cs="仿宋_GB2312"/>
                <w:sz w:val="28"/>
                <w:szCs w:val="28"/>
                <w:u w:val="none"/>
                <w:lang w:val="en-US" w:eastAsia="zh-CN"/>
              </w:rPr>
            </w:pPr>
          </w:p>
        </w:tc>
        <w:tc>
          <w:tcPr>
            <w:tcW w:w="1113" w:type="dxa"/>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0" w:type="dxa"/>
            <w:gridSpan w:val="3"/>
          </w:tcPr>
          <w:p>
            <w:pPr>
              <w:jc w:val="center"/>
              <w:rPr>
                <w:rFonts w:hint="default" w:ascii="黑体" w:hAnsi="黑体" w:eastAsia="黑体" w:cs="黑体"/>
                <w:b/>
                <w:bCs/>
                <w:sz w:val="28"/>
                <w:szCs w:val="28"/>
                <w:vertAlign w:val="baseline"/>
                <w:lang w:val="en-US" w:eastAsia="zh-CN"/>
              </w:rPr>
            </w:pPr>
          </w:p>
        </w:tc>
      </w:tr>
    </w:tbl>
    <w:p>
      <w:pPr>
        <w:jc w:val="both"/>
        <w:rPr>
          <w:rFonts w:hint="eastAsia" w:ascii="宋体" w:hAnsi="宋体" w:eastAsia="宋体" w:cs="宋体"/>
          <w:b/>
          <w:bCs/>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67576"/>
    <w:rsid w:val="03CB48E7"/>
    <w:rsid w:val="0AB55A25"/>
    <w:rsid w:val="0FE41E90"/>
    <w:rsid w:val="12A44C05"/>
    <w:rsid w:val="183E271F"/>
    <w:rsid w:val="2C3A38BF"/>
    <w:rsid w:val="310F7EE5"/>
    <w:rsid w:val="35B67576"/>
    <w:rsid w:val="39533215"/>
    <w:rsid w:val="3B40019F"/>
    <w:rsid w:val="3B4524D9"/>
    <w:rsid w:val="3DA13FE5"/>
    <w:rsid w:val="40281704"/>
    <w:rsid w:val="46592067"/>
    <w:rsid w:val="49D34BE5"/>
    <w:rsid w:val="583A7E01"/>
    <w:rsid w:val="5B103C9A"/>
    <w:rsid w:val="644414EB"/>
    <w:rsid w:val="649802A5"/>
    <w:rsid w:val="6B9D2ACC"/>
    <w:rsid w:val="6BF14D51"/>
    <w:rsid w:val="76380518"/>
    <w:rsid w:val="773F79C4"/>
    <w:rsid w:val="778B4852"/>
    <w:rsid w:val="792C3FC4"/>
    <w:rsid w:val="7E59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2021-05-10T00:51:00Z</dcterms:created>
  <dc:creator>笑叹尘世美</dc:creator>
  <cp:lastModifiedBy>A黎</cp:lastModifiedBy>
  <cp:lastPrinted>2021-11-16T07:43:00Z</cp:lastPrinted>
  <dcterms:modified xsi:type="dcterms:W3CDTF">2022-05-11T02:42:24Z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2B4D2F1B46114B7C87839F472F84649C</vt:lpwstr>
  </property>
</Properties>
</file>