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2023年</w:t>
      </w:r>
      <w:bookmarkStart w:id="0" w:name="_GoBack"/>
      <w:bookmarkEnd w:id="0"/>
      <w:r>
        <w:rPr>
          <w:rFonts w:hint="eastAsia" w:ascii="宋体" w:hAnsi="宋体" w:eastAsia="宋体" w:cs="宋体"/>
          <w:b/>
          <w:bCs/>
          <w:sz w:val="44"/>
          <w:szCs w:val="44"/>
          <w:lang w:val="en-US" w:eastAsia="zh-CN"/>
        </w:rPr>
        <w:t>执法案件登记表</w:t>
      </w:r>
    </w:p>
    <w:tbl>
      <w:tblPr>
        <w:tblStyle w:val="3"/>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135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1357"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案件名称</w:t>
            </w:r>
          </w:p>
        </w:tc>
        <w:tc>
          <w:tcPr>
            <w:tcW w:w="2277" w:type="dxa"/>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1357"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洛阳众拓隧道机械设备有限公司特种作业人员未按照规定经专门培训并取得相应资格，上岗作业；未如实记录安全生产教育和培训情况；未按照规定对从业人员进行安全教育和培训案</w:t>
            </w:r>
          </w:p>
        </w:tc>
        <w:tc>
          <w:tcPr>
            <w:tcW w:w="2277" w:type="dxa"/>
          </w:tcPr>
          <w:p>
            <w:pPr>
              <w:spacing w:line="360" w:lineRule="auto"/>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罚款30000元</w:t>
            </w:r>
          </w:p>
          <w:p>
            <w:pPr>
              <w:spacing w:line="480" w:lineRule="auto"/>
              <w:jc w:val="center"/>
              <w:rPr>
                <w:rFonts w:hint="default"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1357"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p>
        </w:tc>
        <w:tc>
          <w:tcPr>
            <w:tcW w:w="2277"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135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227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135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227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135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227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1135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2277"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11357"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2277"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p>
        </w:tc>
        <w:tc>
          <w:tcPr>
            <w:tcW w:w="11357"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u w:val="none"/>
              </w:rPr>
              <w:t xml:space="preserve"> </w:t>
            </w:r>
          </w:p>
        </w:tc>
        <w:tc>
          <w:tcPr>
            <w:tcW w:w="2277" w:type="dxa"/>
            <w:vAlign w:val="top"/>
          </w:tcPr>
          <w:p>
            <w:pPr>
              <w:spacing w:line="480" w:lineRule="auto"/>
              <w:jc w:val="center"/>
              <w:rPr>
                <w:rFonts w:hint="eastAsia" w:ascii="仿宋_GB2312" w:hAnsi="仿宋_GB2312" w:eastAsia="仿宋_GB2312" w:cs="仿宋_GB2312"/>
                <w:b w:val="0"/>
                <w:bCs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Pr>
          <w:p>
            <w:pPr>
              <w:spacing w:line="48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c>
          <w:tcPr>
            <w:tcW w:w="11357"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tc>
        <w:tc>
          <w:tcPr>
            <w:tcW w:w="2277"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bl>
    <w:p>
      <w:pPr>
        <w:jc w:val="both"/>
        <w:rPr>
          <w:rFonts w:hint="eastAsia" w:ascii="宋体" w:hAnsi="宋体" w:eastAsia="宋体" w:cs="宋体"/>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35B67576"/>
    <w:rsid w:val="03CB48E7"/>
    <w:rsid w:val="083B3574"/>
    <w:rsid w:val="0AB55A25"/>
    <w:rsid w:val="0FE41E90"/>
    <w:rsid w:val="12A44C05"/>
    <w:rsid w:val="13E305F1"/>
    <w:rsid w:val="183E271F"/>
    <w:rsid w:val="1E114414"/>
    <w:rsid w:val="2C3A38BF"/>
    <w:rsid w:val="35B67576"/>
    <w:rsid w:val="39533215"/>
    <w:rsid w:val="3B40019F"/>
    <w:rsid w:val="3B4524D9"/>
    <w:rsid w:val="3DA13FE5"/>
    <w:rsid w:val="40281704"/>
    <w:rsid w:val="4586547D"/>
    <w:rsid w:val="46592067"/>
    <w:rsid w:val="49D34BE5"/>
    <w:rsid w:val="4CD16F80"/>
    <w:rsid w:val="4DDA0273"/>
    <w:rsid w:val="54574C5E"/>
    <w:rsid w:val="583A7E01"/>
    <w:rsid w:val="5B103C9A"/>
    <w:rsid w:val="644414EB"/>
    <w:rsid w:val="649802A5"/>
    <w:rsid w:val="689D4316"/>
    <w:rsid w:val="69750E54"/>
    <w:rsid w:val="6B9D2ACC"/>
    <w:rsid w:val="6BF14D51"/>
    <w:rsid w:val="753C50AD"/>
    <w:rsid w:val="76380518"/>
    <w:rsid w:val="773F79C4"/>
    <w:rsid w:val="778B4852"/>
    <w:rsid w:val="78791150"/>
    <w:rsid w:val="792C3FC4"/>
    <w:rsid w:val="7E59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Words>
  <Characters>119</Characters>
  <Lines>0</Lines>
  <Paragraphs>0</Paragraphs>
  <TotalTime>17</TotalTime>
  <ScaleCrop>false</ScaleCrop>
  <LinksUpToDate>false</LinksUpToDate>
  <CharactersWithSpaces>121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2021-05-10T00:51:00Z</dcterms:created>
  <dc:creator>笑叹尘世美</dc:creator>
  <cp:lastModifiedBy>Administrator</cp:lastModifiedBy>
  <cp:lastPrinted>2023-04-12T07:31:00Z</cp:lastPrinted>
  <dcterms:modified xsi:type="dcterms:W3CDTF">2023-04-17T07:35:57Z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9CD7E5BC994749FD8DBE0D66859F66E0</vt:lpwstr>
  </property>
</Properties>
</file>