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kern w:val="0"/>
          <w:sz w:val="32"/>
          <w:szCs w:val="32"/>
        </w:rPr>
      </w:pPr>
      <w:bookmarkStart w:id="0" w:name="_GoBack"/>
      <w:bookmarkEnd w:id="0"/>
      <w:r>
        <w:rPr>
          <w:rFonts w:hint="eastAsia" w:ascii="黑体" w:hAnsi="黑体" w:eastAsia="黑体" w:cs="黑体"/>
          <w:kern w:val="0"/>
          <w:sz w:val="32"/>
          <w:szCs w:val="32"/>
        </w:rPr>
        <w:t>附件1</w:t>
      </w:r>
    </w:p>
    <w:p>
      <w:pPr>
        <w:pStyle w:val="2"/>
        <w:keepNext/>
        <w:keepLines/>
        <w:pageBreakBefore w:val="0"/>
        <w:widowControl/>
        <w:kinsoku/>
        <w:wordWrap/>
        <w:overflowPunct/>
        <w:topLinePunct w:val="0"/>
        <w:autoSpaceDE/>
        <w:autoSpaceDN/>
        <w:bidi w:val="0"/>
        <w:adjustRightInd w:val="0"/>
        <w:snapToGrid w:val="0"/>
        <w:spacing w:before="0" w:after="0" w:line="400" w:lineRule="exact"/>
        <w:textAlignment w:val="auto"/>
        <w:rPr>
          <w:rFonts w:hint="eastAsia"/>
        </w:rPr>
      </w:pPr>
    </w:p>
    <w:p>
      <w:pPr>
        <w:pStyle w:val="12"/>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华文中宋" w:hAnsi="华文中宋" w:eastAsia="华文中宋" w:cs="华文中宋"/>
          <w:b/>
          <w:bCs/>
          <w:color w:val="auto"/>
          <w:spacing w:val="-11"/>
          <w:sz w:val="44"/>
          <w:szCs w:val="44"/>
        </w:rPr>
      </w:pPr>
      <w:r>
        <w:rPr>
          <w:rFonts w:hint="eastAsia" w:ascii="华文中宋" w:hAnsi="华文中宋" w:eastAsia="华文中宋" w:cs="华文中宋"/>
          <w:b/>
          <w:bCs/>
          <w:color w:val="auto"/>
          <w:spacing w:val="-11"/>
          <w:sz w:val="44"/>
          <w:szCs w:val="44"/>
          <w:lang w:val="en-US" w:eastAsia="zh-CN"/>
        </w:rPr>
        <w:t>瀍河回族区</w:t>
      </w:r>
      <w:r>
        <w:rPr>
          <w:rFonts w:hint="eastAsia" w:ascii="华文中宋" w:hAnsi="华文中宋" w:eastAsia="华文中宋" w:cs="华文中宋"/>
          <w:b/>
          <w:bCs/>
          <w:color w:val="auto"/>
          <w:spacing w:val="-11"/>
          <w:sz w:val="44"/>
          <w:szCs w:val="44"/>
        </w:rPr>
        <w:t>交由乡镇政府行使的行政处罚权</w:t>
      </w:r>
    </w:p>
    <w:p>
      <w:pPr>
        <w:pStyle w:val="12"/>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华文中宋" w:hAnsi="华文中宋" w:eastAsia="华文中宋" w:cs="华文中宋"/>
          <w:b/>
          <w:bCs/>
          <w:color w:val="auto"/>
          <w:spacing w:val="-11"/>
          <w:sz w:val="44"/>
          <w:szCs w:val="44"/>
        </w:rPr>
      </w:pPr>
      <w:r>
        <w:rPr>
          <w:rFonts w:hint="eastAsia" w:ascii="华文中宋" w:hAnsi="华文中宋" w:eastAsia="华文中宋" w:cs="华文中宋"/>
          <w:b/>
          <w:bCs/>
          <w:color w:val="auto"/>
          <w:spacing w:val="-11"/>
          <w:sz w:val="44"/>
          <w:szCs w:val="44"/>
        </w:rPr>
        <w:t>事项清单</w:t>
      </w:r>
    </w:p>
    <w:p>
      <w:pPr>
        <w:pStyle w:val="12"/>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文星标宋" w:hAnsi="文星标宋" w:eastAsia="文星标宋" w:cs="文星标宋"/>
          <w:color w:val="auto"/>
          <w:spacing w:val="-11"/>
          <w:sz w:val="44"/>
          <w:szCs w:val="44"/>
        </w:rPr>
      </w:pPr>
    </w:p>
    <w:tbl>
      <w:tblPr>
        <w:tblStyle w:val="9"/>
        <w:tblW w:w="5259" w:type="pct"/>
        <w:jc w:val="center"/>
        <w:tblLayout w:type="autofit"/>
        <w:tblCellMar>
          <w:top w:w="0" w:type="dxa"/>
          <w:left w:w="108" w:type="dxa"/>
          <w:bottom w:w="0" w:type="dxa"/>
          <w:right w:w="108" w:type="dxa"/>
        </w:tblCellMar>
      </w:tblPr>
      <w:tblGrid>
        <w:gridCol w:w="583"/>
        <w:gridCol w:w="3481"/>
        <w:gridCol w:w="2936"/>
        <w:gridCol w:w="2529"/>
      </w:tblGrid>
      <w:tr>
        <w:tblPrEx>
          <w:tblCellMar>
            <w:top w:w="0" w:type="dxa"/>
            <w:left w:w="108" w:type="dxa"/>
            <w:bottom w:w="0" w:type="dxa"/>
            <w:right w:w="108" w:type="dxa"/>
          </w:tblCellMar>
        </w:tblPrEx>
        <w:trPr>
          <w:cantSplit/>
          <w:trHeight w:val="387" w:hRule="atLeast"/>
          <w:tblHeader/>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黑体" w:hAnsi="黑体" w:eastAsia="黑体" w:cs="黑体"/>
                <w:kern w:val="0"/>
                <w:szCs w:val="21"/>
              </w:rPr>
            </w:pPr>
            <w:r>
              <w:rPr>
                <w:rFonts w:hint="eastAsia" w:ascii="黑体" w:hAnsi="黑体" w:eastAsia="黑体" w:cs="黑体"/>
                <w:kern w:val="0"/>
                <w:szCs w:val="21"/>
                <w:lang w:bidi="ar"/>
              </w:rPr>
              <w:t>序号</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黑体" w:hAnsi="黑体" w:eastAsia="黑体" w:cs="黑体"/>
                <w:kern w:val="0"/>
                <w:szCs w:val="21"/>
              </w:rPr>
            </w:pPr>
            <w:r>
              <w:rPr>
                <w:rFonts w:hint="eastAsia" w:ascii="黑体" w:hAnsi="黑体" w:eastAsia="黑体" w:cs="黑体"/>
                <w:kern w:val="0"/>
                <w:szCs w:val="21"/>
                <w:lang w:bidi="ar"/>
              </w:rPr>
              <w:t>赋权事项</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黑体" w:hAnsi="黑体" w:eastAsia="黑体" w:cs="黑体"/>
                <w:kern w:val="0"/>
                <w:szCs w:val="21"/>
                <w:lang w:val="en"/>
              </w:rPr>
            </w:pPr>
            <w:r>
              <w:rPr>
                <w:rFonts w:hint="eastAsia" w:ascii="黑体" w:hAnsi="黑体" w:eastAsia="黑体" w:cs="黑体"/>
                <w:kern w:val="0"/>
                <w:szCs w:val="21"/>
                <w:lang w:val="en" w:bidi="ar"/>
              </w:rPr>
              <w:t>实施依据</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overflowPunct w:val="0"/>
              <w:spacing w:line="0" w:lineRule="atLeast"/>
              <w:jc w:val="center"/>
              <w:rPr>
                <w:rFonts w:hint="eastAsia" w:ascii="黑体" w:hAnsi="黑体" w:eastAsia="黑体" w:cs="黑体"/>
                <w:kern w:val="0"/>
                <w:szCs w:val="21"/>
              </w:rPr>
            </w:pPr>
            <w:r>
              <w:rPr>
                <w:rFonts w:hint="eastAsia" w:ascii="黑体" w:hAnsi="黑体" w:eastAsia="黑体" w:cs="黑体"/>
                <w:kern w:val="0"/>
                <w:szCs w:val="21"/>
                <w:lang w:bidi="ar"/>
              </w:rPr>
              <w:t>原实施部门</w:t>
            </w:r>
          </w:p>
        </w:tc>
      </w:tr>
      <w:tr>
        <w:tblPrEx>
          <w:tblCellMar>
            <w:top w:w="0" w:type="dxa"/>
            <w:left w:w="108" w:type="dxa"/>
            <w:bottom w:w="0" w:type="dxa"/>
            <w:right w:w="108" w:type="dxa"/>
          </w:tblCellMar>
        </w:tblPrEx>
        <w:trPr>
          <w:cantSplit/>
          <w:trHeight w:val="929"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1</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对占用耕地建窑、建坟或者擅自在耕地上建房、挖砂、采石、采矿、取土等，破坏种植条件的，或者因开发土地造成土地荒漠化、盐渍化的处罚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1.《中华人民共和国土地管理法》第七十五条</w:t>
            </w:r>
          </w:p>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szCs w:val="21"/>
              </w:rPr>
            </w:pPr>
            <w:r>
              <w:rPr>
                <w:rFonts w:hint="eastAsia" w:ascii="华文仿宋" w:hAnsi="华文仿宋" w:eastAsia="华文仿宋" w:cs="华文仿宋"/>
                <w:kern w:val="0"/>
                <w:szCs w:val="21"/>
                <w:lang w:bidi="ar"/>
              </w:rPr>
              <w:t>2.《中华人民共和国土地管理法实施条例》第五十五条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val="en" w:bidi="ar"/>
              </w:rPr>
            </w:pPr>
            <w:r>
              <w:rPr>
                <w:rFonts w:hint="eastAsia" w:ascii="华文仿宋" w:hAnsi="华文仿宋" w:eastAsia="华文仿宋" w:cs="华文仿宋"/>
                <w:kern w:val="0"/>
                <w:szCs w:val="21"/>
                <w:lang w:bidi="ar"/>
              </w:rPr>
              <w:t>市自然资源和规划（分）局、县自然资源局或市、县（区）农业农村局</w:t>
            </w:r>
          </w:p>
        </w:tc>
      </w:tr>
      <w:tr>
        <w:tblPrEx>
          <w:tblCellMar>
            <w:top w:w="0" w:type="dxa"/>
            <w:left w:w="108" w:type="dxa"/>
            <w:bottom w:w="0" w:type="dxa"/>
            <w:right w:w="108" w:type="dxa"/>
          </w:tblCellMar>
        </w:tblPrEx>
        <w:trPr>
          <w:cantSplit/>
          <w:trHeight w:val="637"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2</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对未经批准或者采取欺骗手段骗取批准，非法占用土地的处罚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1.《中华人民共和国土地管理法》第七十七条</w:t>
            </w:r>
          </w:p>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2.</w:t>
            </w:r>
            <w:r>
              <w:rPr>
                <w:rFonts w:hint="eastAsia" w:ascii="华文仿宋" w:hAnsi="华文仿宋" w:eastAsia="华文仿宋" w:cs="华文仿宋"/>
                <w:bCs/>
                <w:kern w:val="0"/>
                <w:szCs w:val="21"/>
                <w:lang w:bidi="ar"/>
              </w:rPr>
              <w:t>《中华人民共和国土地管理法实施条例》第五十七条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topLinePunct w:val="0"/>
              <w:autoSpaceDE/>
              <w:autoSpaceDN/>
              <w:bidi w:val="0"/>
              <w:adjustRightInd/>
              <w:snapToGrid/>
              <w:spacing w:line="264" w:lineRule="exact"/>
              <w:jc w:val="both"/>
              <w:textAlignment w:val="auto"/>
              <w:rPr>
                <w:rFonts w:hint="eastAsia" w:ascii="华文仿宋" w:hAnsi="华文仿宋" w:eastAsia="华文仿宋" w:cs="华文仿宋"/>
                <w:sz w:val="21"/>
                <w:szCs w:val="21"/>
                <w:lang w:bidi="ar"/>
              </w:rPr>
            </w:pPr>
            <w:r>
              <w:rPr>
                <w:rFonts w:hint="eastAsia" w:ascii="华文仿宋" w:hAnsi="华文仿宋" w:eastAsia="华文仿宋" w:cs="华文仿宋"/>
                <w:sz w:val="21"/>
                <w:szCs w:val="21"/>
                <w:lang w:bidi="ar"/>
              </w:rPr>
              <w:t>市自然资源和规划（分）局、县自然资源局</w:t>
            </w:r>
          </w:p>
        </w:tc>
      </w:tr>
      <w:tr>
        <w:tblPrEx>
          <w:tblCellMar>
            <w:top w:w="0" w:type="dxa"/>
            <w:left w:w="108" w:type="dxa"/>
            <w:bottom w:w="0" w:type="dxa"/>
            <w:right w:w="108" w:type="dxa"/>
          </w:tblCellMar>
        </w:tblPrEx>
        <w:trPr>
          <w:cantSplit/>
          <w:trHeight w:val="479"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3</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对农村村民未经批准或者采取欺骗手段骗取批准，非法占用土地建住宅的处罚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《中华人民共和国土地管理法》第七十八条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val="en" w:bidi="ar"/>
              </w:rPr>
            </w:pPr>
            <w:r>
              <w:rPr>
                <w:rFonts w:hint="eastAsia" w:ascii="华文仿宋" w:hAnsi="华文仿宋" w:eastAsia="华文仿宋" w:cs="华文仿宋"/>
                <w:kern w:val="0"/>
                <w:szCs w:val="21"/>
                <w:lang w:bidi="ar"/>
              </w:rPr>
              <w:t>市自然资源和规划（分）局、县自然资源局或市、县（区）农业农村局</w:t>
            </w:r>
          </w:p>
        </w:tc>
      </w:tr>
      <w:tr>
        <w:tblPrEx>
          <w:tblCellMar>
            <w:top w:w="0" w:type="dxa"/>
            <w:left w:w="108" w:type="dxa"/>
            <w:bottom w:w="0" w:type="dxa"/>
            <w:right w:w="108" w:type="dxa"/>
          </w:tblCellMar>
        </w:tblPrEx>
        <w:trPr>
          <w:cantSplit/>
          <w:trHeight w:val="375"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4</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对未经批准进行临时建设的处罚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《中华人民共和国城乡规划法》第六十六条第一项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val="en" w:bidi="ar"/>
              </w:rPr>
            </w:pPr>
            <w:r>
              <w:rPr>
                <w:rFonts w:hint="eastAsia" w:ascii="华文仿宋" w:hAnsi="华文仿宋" w:eastAsia="华文仿宋" w:cs="华文仿宋"/>
                <w:kern w:val="0"/>
                <w:szCs w:val="21"/>
                <w:lang w:bidi="ar"/>
              </w:rPr>
              <w:t>市自然资源和规划（分）局、县自然资源局</w:t>
            </w:r>
          </w:p>
        </w:tc>
      </w:tr>
      <w:tr>
        <w:tblPrEx>
          <w:tblCellMar>
            <w:top w:w="0" w:type="dxa"/>
            <w:left w:w="108" w:type="dxa"/>
            <w:bottom w:w="0" w:type="dxa"/>
            <w:right w:w="108" w:type="dxa"/>
          </w:tblCellMar>
        </w:tblPrEx>
        <w:trPr>
          <w:cantSplit/>
          <w:trHeight w:val="375"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5</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对未按照批准内容进行临时建设的处罚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《中华人民共和国城乡规划法》第六十六条第二项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val="en"/>
              </w:rPr>
            </w:pPr>
            <w:r>
              <w:rPr>
                <w:rFonts w:hint="eastAsia" w:ascii="华文仿宋" w:hAnsi="华文仿宋" w:eastAsia="华文仿宋" w:cs="华文仿宋"/>
                <w:kern w:val="0"/>
                <w:szCs w:val="21"/>
                <w:lang w:bidi="ar"/>
              </w:rPr>
              <w:t>市自然资源和规划（分）局、县自然资源局</w:t>
            </w:r>
          </w:p>
        </w:tc>
      </w:tr>
      <w:tr>
        <w:tblPrEx>
          <w:tblCellMar>
            <w:top w:w="0" w:type="dxa"/>
            <w:left w:w="108" w:type="dxa"/>
            <w:bottom w:w="0" w:type="dxa"/>
            <w:right w:w="108" w:type="dxa"/>
          </w:tblCellMar>
        </w:tblPrEx>
        <w:trPr>
          <w:cantSplit/>
          <w:trHeight w:val="627"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6</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对临时建筑物、构筑物超过批准期限不拆除的处罚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《中华人民共和国城乡规划法》第六十六条第三项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val="en" w:bidi="ar"/>
              </w:rPr>
            </w:pPr>
            <w:r>
              <w:rPr>
                <w:rFonts w:hint="eastAsia" w:ascii="华文仿宋" w:hAnsi="华文仿宋" w:eastAsia="华文仿宋" w:cs="华文仿宋"/>
                <w:kern w:val="0"/>
                <w:szCs w:val="21"/>
                <w:lang w:bidi="ar"/>
              </w:rPr>
              <w:t>市自然资源和规划（分）局、县自然资源局</w:t>
            </w:r>
          </w:p>
        </w:tc>
      </w:tr>
      <w:tr>
        <w:tblPrEx>
          <w:tblCellMar>
            <w:top w:w="0" w:type="dxa"/>
            <w:left w:w="108" w:type="dxa"/>
            <w:bottom w:w="0" w:type="dxa"/>
            <w:right w:w="108" w:type="dxa"/>
          </w:tblCellMar>
        </w:tblPrEx>
        <w:trPr>
          <w:cantSplit/>
          <w:trHeight w:val="872"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7</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对未密闭煤炭、煤矸石、煤渣、煤灰、水泥、石灰、石膏、砂土等易产生扬尘的物料的处罚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《中华人民共和国大气污染防治法》第一百一十七条第一项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市生态环境局</w:t>
            </w:r>
          </w:p>
        </w:tc>
      </w:tr>
      <w:tr>
        <w:tblPrEx>
          <w:tblCellMar>
            <w:top w:w="0" w:type="dxa"/>
            <w:left w:w="108" w:type="dxa"/>
            <w:bottom w:w="0" w:type="dxa"/>
            <w:right w:w="108" w:type="dxa"/>
          </w:tblCellMar>
        </w:tblPrEx>
        <w:trPr>
          <w:cantSplit/>
          <w:trHeight w:val="322"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8</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对不能密闭的易产生扬尘的物料，未设置不低于堆放物高度的严密围挡，或者未采取有效覆盖措施防治扬尘污染的处罚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《中华人民共和国大气污染防治法》第一百一十七条第二项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市生态环境局</w:t>
            </w:r>
          </w:p>
        </w:tc>
      </w:tr>
      <w:tr>
        <w:tblPrEx>
          <w:tblCellMar>
            <w:top w:w="0" w:type="dxa"/>
            <w:left w:w="108" w:type="dxa"/>
            <w:bottom w:w="0" w:type="dxa"/>
            <w:right w:w="108" w:type="dxa"/>
          </w:tblCellMar>
        </w:tblPrEx>
        <w:trPr>
          <w:cantSplit/>
          <w:trHeight w:val="479"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9</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对在禁止养殖区域内建设畜禽养殖场、养殖小区的处罚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《畜禽规模养殖污染防治条例》第三十七条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市生态环境局</w:t>
            </w:r>
          </w:p>
        </w:tc>
      </w:tr>
      <w:tr>
        <w:tblPrEx>
          <w:tblCellMar>
            <w:top w:w="0" w:type="dxa"/>
            <w:left w:w="108" w:type="dxa"/>
            <w:bottom w:w="0" w:type="dxa"/>
            <w:right w:w="108" w:type="dxa"/>
          </w:tblCellMar>
        </w:tblPrEx>
        <w:trPr>
          <w:cantSplit/>
          <w:trHeight w:val="637"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10</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对将未经处置的畜禽粪便、污水直接排入环境的处罚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《河南省水污染防治条例》第三十九条第二款、第七十八条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市生态环境局</w:t>
            </w:r>
          </w:p>
        </w:tc>
      </w:tr>
      <w:tr>
        <w:tblPrEx>
          <w:tblCellMar>
            <w:top w:w="0" w:type="dxa"/>
            <w:left w:w="108" w:type="dxa"/>
            <w:bottom w:w="0" w:type="dxa"/>
            <w:right w:w="108" w:type="dxa"/>
          </w:tblCellMar>
        </w:tblPrEx>
        <w:trPr>
          <w:cantSplit/>
          <w:trHeight w:val="317"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11</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对在人口集中地区露天焚烧秸秆、落叶等产生烟尘污染的物质的处罚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《中华人民共和国大气污染防治法》第一百一十九条第一款</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市、县（区）农业农村局或县（区）城市管理局</w:t>
            </w:r>
          </w:p>
        </w:tc>
      </w:tr>
      <w:tr>
        <w:tblPrEx>
          <w:tblCellMar>
            <w:top w:w="0" w:type="dxa"/>
            <w:left w:w="108" w:type="dxa"/>
            <w:bottom w:w="0" w:type="dxa"/>
            <w:right w:w="108" w:type="dxa"/>
          </w:tblCellMar>
        </w:tblPrEx>
        <w:trPr>
          <w:cantSplit/>
          <w:trHeight w:val="740"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12</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对毁损、覆盖、涂改、擅自拆除或者移动燃气设施安全警示标志的处罚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《城镇燃气管理条例》第五十一条第二款</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both"/>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市、县（区）城市管理局或县住房城乡建设局</w:t>
            </w:r>
          </w:p>
        </w:tc>
      </w:tr>
      <w:tr>
        <w:tblPrEx>
          <w:tblCellMar>
            <w:top w:w="0" w:type="dxa"/>
            <w:left w:w="108" w:type="dxa"/>
            <w:bottom w:w="0" w:type="dxa"/>
            <w:right w:w="108" w:type="dxa"/>
          </w:tblCellMar>
        </w:tblPrEx>
        <w:trPr>
          <w:cantSplit/>
          <w:trHeight w:val="782"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13</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对将建筑垃圾混入生活垃圾的处罚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《城市建筑垃圾管理规定》第二十条第一款第一项及第二款</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县（区）城市管理局</w:t>
            </w:r>
          </w:p>
        </w:tc>
      </w:tr>
      <w:tr>
        <w:tblPrEx>
          <w:tblCellMar>
            <w:top w:w="0" w:type="dxa"/>
            <w:left w:w="108" w:type="dxa"/>
            <w:bottom w:w="0" w:type="dxa"/>
            <w:right w:w="108" w:type="dxa"/>
          </w:tblCellMar>
        </w:tblPrEx>
        <w:trPr>
          <w:cantSplit/>
          <w:trHeight w:val="162"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14</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对擅自设立弃置场受纳建筑垃圾的处罚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《城市建筑垃圾管理规定》第二十条第一款第三项及第二款</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县（区）城市管理局</w:t>
            </w:r>
          </w:p>
        </w:tc>
      </w:tr>
      <w:tr>
        <w:tblPrEx>
          <w:tblCellMar>
            <w:top w:w="0" w:type="dxa"/>
            <w:left w:w="108" w:type="dxa"/>
            <w:bottom w:w="0" w:type="dxa"/>
            <w:right w:w="108" w:type="dxa"/>
          </w:tblCellMar>
        </w:tblPrEx>
        <w:trPr>
          <w:cantSplit/>
          <w:trHeight w:val="926"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15</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对处置建筑垃圾的单位在运输建筑垃圾过程中沿途丢弃、遗撒建筑垃圾的处罚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《城市建筑垃圾管理规定》第二十三条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县（区）城市管理局</w:t>
            </w:r>
          </w:p>
        </w:tc>
      </w:tr>
      <w:tr>
        <w:tblPrEx>
          <w:tblCellMar>
            <w:top w:w="0" w:type="dxa"/>
            <w:left w:w="108" w:type="dxa"/>
            <w:bottom w:w="0" w:type="dxa"/>
            <w:right w:w="108" w:type="dxa"/>
          </w:tblCellMar>
        </w:tblPrEx>
        <w:trPr>
          <w:cantSplit/>
          <w:trHeight w:val="906"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16</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对不按城市环境卫生行政主管部门规定的时间、地点、方式倾倒垃圾、粪便的处罚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《河南省〈城市市容和环境卫生管理条例〉实施办法》第三十条第四项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县（区）城市管理局</w:t>
            </w:r>
          </w:p>
        </w:tc>
      </w:tr>
      <w:tr>
        <w:tblPrEx>
          <w:tblCellMar>
            <w:top w:w="0" w:type="dxa"/>
            <w:left w:w="108" w:type="dxa"/>
            <w:bottom w:w="0" w:type="dxa"/>
            <w:right w:w="108" w:type="dxa"/>
          </w:tblCellMar>
        </w:tblPrEx>
        <w:trPr>
          <w:cantSplit/>
          <w:trHeight w:val="738"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17</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对不履行卫生责任区清扫保洁的，或冬季不履行除雪义务的处罚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《河南省〈城市市容和环境卫生管理条例〉实施办法》第三十条第五项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县（区）城市管理局</w:t>
            </w:r>
          </w:p>
        </w:tc>
      </w:tr>
      <w:tr>
        <w:tblPrEx>
          <w:tblCellMar>
            <w:top w:w="0" w:type="dxa"/>
            <w:left w:w="108" w:type="dxa"/>
            <w:bottom w:w="0" w:type="dxa"/>
            <w:right w:w="108" w:type="dxa"/>
          </w:tblCellMar>
        </w:tblPrEx>
        <w:trPr>
          <w:cantSplit/>
          <w:trHeight w:val="1210"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18</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对临街工地不设置护栏或者不作遮挡，停工场地不及时整理并作必要覆盖或者竣工后不及时清理和平整场地，影响市容和环境卫生的处罚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《河南省〈城市市容和环境卫生管理条例〉实施办法》第三十条第七项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县（区）城市管理局</w:t>
            </w:r>
          </w:p>
        </w:tc>
      </w:tr>
      <w:tr>
        <w:tblPrEx>
          <w:tblCellMar>
            <w:top w:w="0" w:type="dxa"/>
            <w:left w:w="108" w:type="dxa"/>
            <w:bottom w:w="0" w:type="dxa"/>
            <w:right w:w="108" w:type="dxa"/>
          </w:tblCellMar>
        </w:tblPrEx>
        <w:trPr>
          <w:cantSplit/>
          <w:trHeight w:val="472"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strike/>
                <w:kern w:val="0"/>
                <w:szCs w:val="21"/>
              </w:rPr>
            </w:pPr>
            <w:r>
              <w:rPr>
                <w:rFonts w:hint="eastAsia" w:ascii="华文仿宋" w:hAnsi="华文仿宋" w:eastAsia="华文仿宋" w:cs="华文仿宋"/>
                <w:kern w:val="0"/>
                <w:szCs w:val="21"/>
                <w:lang w:bidi="ar"/>
              </w:rPr>
              <w:t>19</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对不按规定及时清运、处理粪便的处罚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《河南省〈城市市容和环境卫生管理条例〉实施办法》第三十条第八项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县（区）城市管理局</w:t>
            </w:r>
          </w:p>
        </w:tc>
      </w:tr>
      <w:tr>
        <w:tblPrEx>
          <w:tblCellMar>
            <w:top w:w="0" w:type="dxa"/>
            <w:left w:w="108" w:type="dxa"/>
            <w:bottom w:w="0" w:type="dxa"/>
            <w:right w:w="108" w:type="dxa"/>
          </w:tblCellMar>
        </w:tblPrEx>
        <w:trPr>
          <w:cantSplit/>
          <w:trHeight w:val="472"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20</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对摊点的经营者随地丢弃垃圾的处罚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《河南省〈城市市容和环境卫生管理条例〉实施办法》第三十条第十二项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县（区）城市管理局</w:t>
            </w:r>
          </w:p>
        </w:tc>
      </w:tr>
      <w:tr>
        <w:tblPrEx>
          <w:tblCellMar>
            <w:top w:w="0" w:type="dxa"/>
            <w:left w:w="108" w:type="dxa"/>
            <w:bottom w:w="0" w:type="dxa"/>
            <w:right w:w="108" w:type="dxa"/>
          </w:tblCellMar>
        </w:tblPrEx>
        <w:trPr>
          <w:cantSplit/>
          <w:trHeight w:val="472"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21</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对不按规定的地点、方式冲洗车辆，造成污水漫流、遗弃垃圾的处罚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《河南省〈城市市容和环境卫生管理条例〉实施办法》第三十条第十四项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县（区）城市管理局</w:t>
            </w:r>
          </w:p>
        </w:tc>
      </w:tr>
      <w:tr>
        <w:tblPrEx>
          <w:tblCellMar>
            <w:top w:w="0" w:type="dxa"/>
            <w:left w:w="108" w:type="dxa"/>
            <w:bottom w:w="0" w:type="dxa"/>
            <w:right w:w="108" w:type="dxa"/>
          </w:tblCellMar>
        </w:tblPrEx>
        <w:trPr>
          <w:cantSplit/>
          <w:trHeight w:val="1190"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22</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对擅自在城市街道两侧或者公共场所临时堆放物料、搭建临时建筑物、构筑物（含促销展台、帐篷）或者其他设施的处罚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《洛阳市城市市容和环境卫生管理条例》第十七条第一款、第四十一条第二项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县（区）城市管理局</w:t>
            </w:r>
          </w:p>
        </w:tc>
      </w:tr>
      <w:tr>
        <w:tblPrEx>
          <w:tblCellMar>
            <w:top w:w="0" w:type="dxa"/>
            <w:left w:w="108" w:type="dxa"/>
            <w:bottom w:w="0" w:type="dxa"/>
            <w:right w:w="108" w:type="dxa"/>
          </w:tblCellMar>
        </w:tblPrEx>
        <w:trPr>
          <w:cantSplit/>
          <w:trHeight w:val="461"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23</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对在城市道路两侧进行有碍市容和环境卫生的生产加工、摆摊设点、店外销售等活动的处罚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《洛阳市城市市容和环境卫生管理条例》第二十条第三款、第四十一条第五项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县（区）城市管理局</w:t>
            </w:r>
          </w:p>
        </w:tc>
      </w:tr>
      <w:tr>
        <w:tblPrEx>
          <w:tblCellMar>
            <w:top w:w="0" w:type="dxa"/>
            <w:left w:w="108" w:type="dxa"/>
            <w:bottom w:w="0" w:type="dxa"/>
            <w:right w:w="108" w:type="dxa"/>
          </w:tblCellMar>
        </w:tblPrEx>
        <w:trPr>
          <w:cantSplit/>
          <w:trHeight w:val="886"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24</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对擅自设置大型户外广告（含大型招牌广告）的处罚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《洛阳市城市市容和环境卫生管理条例》第二十一条第二款、第四十一条第二项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县（区）城市管理局</w:t>
            </w:r>
          </w:p>
        </w:tc>
      </w:tr>
      <w:tr>
        <w:tblPrEx>
          <w:tblCellMar>
            <w:top w:w="0" w:type="dxa"/>
            <w:left w:w="108" w:type="dxa"/>
            <w:bottom w:w="0" w:type="dxa"/>
            <w:right w:w="108" w:type="dxa"/>
          </w:tblCellMar>
        </w:tblPrEx>
        <w:trPr>
          <w:cantSplit/>
          <w:trHeight w:val="1005"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25</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对在建筑物、构筑物、设施、道路、商铺门窗以及树木上涂写、刻画、张贴的处罚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《洛阳市城市市容和环境卫生管理条例》第二十二条第一款、第四十一条第六项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县（区）城市管理局</w:t>
            </w:r>
          </w:p>
        </w:tc>
      </w:tr>
      <w:tr>
        <w:tblPrEx>
          <w:tblCellMar>
            <w:top w:w="0" w:type="dxa"/>
            <w:left w:w="108" w:type="dxa"/>
            <w:bottom w:w="0" w:type="dxa"/>
            <w:right w:w="108" w:type="dxa"/>
          </w:tblCellMar>
        </w:tblPrEx>
        <w:trPr>
          <w:cantSplit/>
          <w:trHeight w:val="310"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26</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对随地吐痰、便溺、倾倒污水的处罚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《洛阳市城市市容和环境卫生管理条例》第三十八条第一项、第四十一条第一项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县（区）城市管理局</w:t>
            </w:r>
          </w:p>
        </w:tc>
      </w:tr>
      <w:tr>
        <w:tblPrEx>
          <w:tblCellMar>
            <w:top w:w="0" w:type="dxa"/>
            <w:left w:w="108" w:type="dxa"/>
            <w:bottom w:w="0" w:type="dxa"/>
            <w:right w:w="108" w:type="dxa"/>
          </w:tblCellMar>
        </w:tblPrEx>
        <w:trPr>
          <w:cantSplit/>
          <w:trHeight w:val="461"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27</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对乱扔果皮、纸屑、烟头等废弃物的处罚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《洛阳市城市市容和环境卫生管理条例》第三十八条第二项、第四十一条第一项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县（区）城市管理局</w:t>
            </w:r>
          </w:p>
        </w:tc>
      </w:tr>
      <w:tr>
        <w:tblPrEx>
          <w:tblCellMar>
            <w:top w:w="0" w:type="dxa"/>
            <w:left w:w="108" w:type="dxa"/>
            <w:bottom w:w="0" w:type="dxa"/>
            <w:right w:w="108" w:type="dxa"/>
          </w:tblCellMar>
        </w:tblPrEx>
        <w:trPr>
          <w:cantSplit/>
          <w:trHeight w:val="1002"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28</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对在江河、湖泊、水库、运河、渠道内弃置、堆放阻碍行洪的物体和种植阻碍行洪的林木及高秆作物的处罚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《中华人民共和国水法》第六十六条第一项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topLinePunct w:val="0"/>
              <w:autoSpaceDE/>
              <w:autoSpaceDN/>
              <w:bidi w:val="0"/>
              <w:adjustRightInd/>
              <w:snapToGrid/>
              <w:spacing w:line="264" w:lineRule="exact"/>
              <w:jc w:val="center"/>
              <w:textAlignment w:val="auto"/>
              <w:rPr>
                <w:rFonts w:hint="eastAsia" w:ascii="华文仿宋" w:hAnsi="华文仿宋" w:eastAsia="华文仿宋" w:cs="华文仿宋"/>
                <w:sz w:val="21"/>
                <w:szCs w:val="21"/>
                <w:lang w:bidi="ar"/>
              </w:rPr>
            </w:pPr>
            <w:r>
              <w:rPr>
                <w:rFonts w:hint="eastAsia" w:ascii="华文仿宋" w:hAnsi="华文仿宋" w:eastAsia="华文仿宋" w:cs="华文仿宋"/>
                <w:sz w:val="21"/>
                <w:szCs w:val="21"/>
                <w:lang w:bidi="ar"/>
              </w:rPr>
              <w:t>市、县（区）水利局</w:t>
            </w:r>
          </w:p>
        </w:tc>
      </w:tr>
      <w:tr>
        <w:tblPrEx>
          <w:tblCellMar>
            <w:top w:w="0" w:type="dxa"/>
            <w:left w:w="108" w:type="dxa"/>
            <w:bottom w:w="0" w:type="dxa"/>
            <w:right w:w="108" w:type="dxa"/>
          </w:tblCellMar>
        </w:tblPrEx>
        <w:trPr>
          <w:cantSplit/>
          <w:trHeight w:val="613"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29</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对破坏、侵占、毁损堤防、水闸、护岸、抽水站、排水渠系等防洪工程和水文、通信设施以及防汛备用的器材、物料的处罚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《中华人民共和国防洪法》第六十条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市、县（区）水利局</w:t>
            </w:r>
          </w:p>
        </w:tc>
      </w:tr>
      <w:tr>
        <w:tblPrEx>
          <w:tblCellMar>
            <w:top w:w="0" w:type="dxa"/>
            <w:left w:w="108" w:type="dxa"/>
            <w:bottom w:w="0" w:type="dxa"/>
            <w:right w:w="108" w:type="dxa"/>
          </w:tblCellMar>
        </w:tblPrEx>
        <w:trPr>
          <w:cantSplit/>
          <w:trHeight w:val="370"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30</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对侵占、破坏水源和抗旱设施的处罚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《中华人民共和国抗旱条例》第六十一条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市、县（区）水利局</w:t>
            </w:r>
          </w:p>
        </w:tc>
      </w:tr>
      <w:tr>
        <w:tblPrEx>
          <w:tblCellMar>
            <w:top w:w="0" w:type="dxa"/>
            <w:left w:w="108" w:type="dxa"/>
            <w:bottom w:w="0" w:type="dxa"/>
            <w:right w:w="108" w:type="dxa"/>
          </w:tblCellMar>
        </w:tblPrEx>
        <w:trPr>
          <w:cantSplit/>
          <w:trHeight w:val="90"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31</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对擅自改变灌区灌排渠系或者私开口门、拦截抢占水源的处罚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《河南省水利工程管理条例》第二十条、第四十五条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市、县（区）水利局</w:t>
            </w:r>
          </w:p>
        </w:tc>
      </w:tr>
      <w:tr>
        <w:tblPrEx>
          <w:tblCellMar>
            <w:top w:w="0" w:type="dxa"/>
            <w:left w:w="108" w:type="dxa"/>
            <w:bottom w:w="0" w:type="dxa"/>
            <w:right w:w="108" w:type="dxa"/>
          </w:tblCellMar>
        </w:tblPrEx>
        <w:trPr>
          <w:cantSplit/>
          <w:trHeight w:val="310"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32</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对在水利工程及其管理范围内侵占、破坏水利工程及其附属设施的处罚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《河南省水利工程管理条例》第二十九条第三款第一项、第四十六条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市、县（区）水利局</w:t>
            </w:r>
          </w:p>
        </w:tc>
      </w:tr>
      <w:tr>
        <w:tblPrEx>
          <w:tblCellMar>
            <w:top w:w="0" w:type="dxa"/>
            <w:left w:w="108" w:type="dxa"/>
            <w:bottom w:w="0" w:type="dxa"/>
            <w:right w:w="108" w:type="dxa"/>
          </w:tblCellMar>
        </w:tblPrEx>
        <w:trPr>
          <w:cantSplit/>
          <w:trHeight w:val="310"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33</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对在水利工程及其管理范围内，在水库、渠道内弃置、堆放阻碍供水、航运的物体的处罚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《河南省水利工程管理条例》第二十九条第三款第二项、第四十六条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市、县（区）水利局</w:t>
            </w:r>
          </w:p>
        </w:tc>
      </w:tr>
      <w:tr>
        <w:tblPrEx>
          <w:tblCellMar>
            <w:top w:w="0" w:type="dxa"/>
            <w:left w:w="108" w:type="dxa"/>
            <w:bottom w:w="0" w:type="dxa"/>
            <w:right w:w="108" w:type="dxa"/>
          </w:tblCellMar>
        </w:tblPrEx>
        <w:trPr>
          <w:cantSplit/>
          <w:trHeight w:val="310"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34</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对在水利工程及其管理范围内进行爆破、打井、取土、建窑、葬坟等危害工程安全的活动的处罚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《河南省水利工程管理条例》第二十九条第三款第三项、第四十六条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市、县（区）水利局</w:t>
            </w:r>
          </w:p>
        </w:tc>
      </w:tr>
      <w:tr>
        <w:tblPrEx>
          <w:tblCellMar>
            <w:top w:w="0" w:type="dxa"/>
            <w:left w:w="108" w:type="dxa"/>
            <w:bottom w:w="0" w:type="dxa"/>
            <w:right w:w="108" w:type="dxa"/>
          </w:tblCellMar>
        </w:tblPrEx>
        <w:trPr>
          <w:cantSplit/>
          <w:trHeight w:val="461"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35</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对在水利工程及其管理范围内未经批准新建、改建、扩建建筑物的处罚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《河南省水利工程管理条例》第二十九条第三款第四项、第四十六条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市、县（区）水利局</w:t>
            </w:r>
          </w:p>
        </w:tc>
      </w:tr>
      <w:tr>
        <w:tblPrEx>
          <w:tblCellMar>
            <w:top w:w="0" w:type="dxa"/>
            <w:left w:w="108" w:type="dxa"/>
            <w:bottom w:w="0" w:type="dxa"/>
            <w:right w:w="108" w:type="dxa"/>
          </w:tblCellMar>
        </w:tblPrEx>
        <w:trPr>
          <w:cantSplit/>
          <w:trHeight w:val="461"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36</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szCs w:val="21"/>
              </w:rPr>
            </w:pPr>
            <w:r>
              <w:rPr>
                <w:rFonts w:hint="eastAsia" w:ascii="华文仿宋" w:hAnsi="华文仿宋" w:eastAsia="华文仿宋" w:cs="华文仿宋"/>
                <w:szCs w:val="21"/>
              </w:rPr>
              <w:t>对在水利工程及其管理范围内未经批准开采砂石、砂金等的处罚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szCs w:val="21"/>
              </w:rPr>
            </w:pPr>
            <w:r>
              <w:rPr>
                <w:rFonts w:hint="eastAsia" w:ascii="华文仿宋" w:hAnsi="华文仿宋" w:eastAsia="华文仿宋" w:cs="华文仿宋"/>
                <w:szCs w:val="21"/>
              </w:rPr>
              <w:t>《河南省水利工程管理条例》第二十九条第三款第五项、第四十六条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市、县（区）水利局</w:t>
            </w:r>
          </w:p>
        </w:tc>
      </w:tr>
      <w:tr>
        <w:tblPrEx>
          <w:tblCellMar>
            <w:top w:w="0" w:type="dxa"/>
            <w:left w:w="108" w:type="dxa"/>
            <w:bottom w:w="0" w:type="dxa"/>
            <w:right w:w="108" w:type="dxa"/>
          </w:tblCellMar>
        </w:tblPrEx>
        <w:trPr>
          <w:cantSplit/>
          <w:trHeight w:val="560"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37</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对在水利工程及其管理范围内围垦水库和擅自开垦土地的处罚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《河南省水利工程管理条例》第二十九条第三款第六项、第四十六条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市、县（区）水利局</w:t>
            </w:r>
          </w:p>
        </w:tc>
      </w:tr>
      <w:tr>
        <w:tblPrEx>
          <w:tblCellMar>
            <w:top w:w="0" w:type="dxa"/>
            <w:left w:w="108" w:type="dxa"/>
            <w:bottom w:w="0" w:type="dxa"/>
            <w:right w:w="108" w:type="dxa"/>
          </w:tblCellMar>
        </w:tblPrEx>
        <w:trPr>
          <w:cantSplit/>
          <w:trHeight w:val="560"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38</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对在水利工程及其管理范围内擅自启闭闸门，扰乱工程管理的处罚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《河南省水利工程管理条例》第二十九条第三款第七项、第四十六条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市、县（区）水利局</w:t>
            </w:r>
          </w:p>
        </w:tc>
      </w:tr>
      <w:tr>
        <w:tblPrEx>
          <w:tblCellMar>
            <w:top w:w="0" w:type="dxa"/>
            <w:left w:w="108" w:type="dxa"/>
            <w:bottom w:w="0" w:type="dxa"/>
            <w:right w:w="108" w:type="dxa"/>
          </w:tblCellMar>
        </w:tblPrEx>
        <w:trPr>
          <w:cantSplit/>
          <w:trHeight w:val="740"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39</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szCs w:val="21"/>
              </w:rPr>
            </w:pPr>
            <w:r>
              <w:rPr>
                <w:rFonts w:hint="eastAsia" w:ascii="华文仿宋" w:hAnsi="华文仿宋" w:eastAsia="华文仿宋" w:cs="华文仿宋"/>
                <w:szCs w:val="21"/>
              </w:rPr>
              <w:t>对未经批准进行采砂的处罚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《河南省河道采砂管理办法》第二十八条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市、县（区）水利局</w:t>
            </w:r>
          </w:p>
        </w:tc>
      </w:tr>
      <w:tr>
        <w:tblPrEx>
          <w:tblCellMar>
            <w:top w:w="0" w:type="dxa"/>
            <w:left w:w="108" w:type="dxa"/>
            <w:bottom w:w="0" w:type="dxa"/>
            <w:right w:w="108" w:type="dxa"/>
          </w:tblCellMar>
        </w:tblPrEx>
        <w:trPr>
          <w:cantSplit/>
          <w:trHeight w:val="370"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40</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对未经批准利用河道、国有水库从事养殖、旅游、餐饮等活动的处罚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《河南省实施〈中华人民共和国水法〉办法》第四十四条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市、县（区）水利局</w:t>
            </w:r>
          </w:p>
        </w:tc>
      </w:tr>
      <w:tr>
        <w:tblPrEx>
          <w:tblCellMar>
            <w:top w:w="0" w:type="dxa"/>
            <w:left w:w="108" w:type="dxa"/>
            <w:bottom w:w="0" w:type="dxa"/>
            <w:right w:w="108" w:type="dxa"/>
          </w:tblCellMar>
        </w:tblPrEx>
        <w:trPr>
          <w:cantSplit/>
          <w:trHeight w:val="370"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41</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对占用水库库容，在堤防、护堤地挖筑坑塘的处罚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《河南省实施〈中华人民共和国防洪法〉办法》第四十一条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市、县（区）水利局</w:t>
            </w:r>
          </w:p>
        </w:tc>
      </w:tr>
      <w:tr>
        <w:tblPrEx>
          <w:tblCellMar>
            <w:top w:w="0" w:type="dxa"/>
            <w:left w:w="108" w:type="dxa"/>
            <w:bottom w:w="0" w:type="dxa"/>
            <w:right w:w="108" w:type="dxa"/>
          </w:tblCellMar>
        </w:tblPrEx>
        <w:trPr>
          <w:cantSplit/>
          <w:trHeight w:val="652"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42</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对未取得农药经营许可证经营农药的处罚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《农药管理条例》第五十五条第一款第一项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市、县（区）农业</w:t>
            </w:r>
          </w:p>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农村局</w:t>
            </w:r>
          </w:p>
        </w:tc>
      </w:tr>
      <w:tr>
        <w:tblPrEx>
          <w:tblCellMar>
            <w:top w:w="0" w:type="dxa"/>
            <w:left w:w="108" w:type="dxa"/>
            <w:bottom w:w="0" w:type="dxa"/>
            <w:right w:w="108" w:type="dxa"/>
          </w:tblCellMar>
        </w:tblPrEx>
        <w:trPr>
          <w:cantSplit/>
          <w:trHeight w:val="674"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43</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对未取得拖拉机、联合收割机操作证件而操作拖拉机、联合收割机的处罚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《农业机械安全监督管理条例》第五十二条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市、县（区）农业</w:t>
            </w:r>
          </w:p>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农村局</w:t>
            </w:r>
          </w:p>
        </w:tc>
      </w:tr>
      <w:tr>
        <w:tblPrEx>
          <w:tblCellMar>
            <w:top w:w="0" w:type="dxa"/>
            <w:left w:w="108" w:type="dxa"/>
            <w:bottom w:w="0" w:type="dxa"/>
            <w:right w:w="108" w:type="dxa"/>
          </w:tblCellMar>
        </w:tblPrEx>
        <w:trPr>
          <w:cantSplit/>
          <w:trHeight w:val="539"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44</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对使用拖拉机、联合收割机违反规定载人的处罚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《农业机械安全监督管理条例》第五十四条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市、县（区）农业</w:t>
            </w:r>
          </w:p>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农村局</w:t>
            </w:r>
          </w:p>
        </w:tc>
      </w:tr>
      <w:tr>
        <w:tblPrEx>
          <w:tblCellMar>
            <w:top w:w="0" w:type="dxa"/>
            <w:left w:w="108" w:type="dxa"/>
            <w:bottom w:w="0" w:type="dxa"/>
            <w:right w:w="108" w:type="dxa"/>
          </w:tblCellMar>
        </w:tblPrEx>
        <w:trPr>
          <w:cantSplit/>
          <w:trHeight w:val="587"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45</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对未取得生产许可证生产饲料、饲料添加剂的处罚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《饲料和饲料添加剂管理条例》第三十八条第一款</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市、县（区）农业</w:t>
            </w:r>
          </w:p>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农村局</w:t>
            </w:r>
          </w:p>
        </w:tc>
      </w:tr>
      <w:tr>
        <w:tblPrEx>
          <w:tblCellMar>
            <w:top w:w="0" w:type="dxa"/>
            <w:left w:w="108" w:type="dxa"/>
            <w:bottom w:w="0" w:type="dxa"/>
            <w:right w:w="108" w:type="dxa"/>
          </w:tblCellMar>
        </w:tblPrEx>
        <w:trPr>
          <w:cantSplit/>
          <w:trHeight w:val="563"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46</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对生产、销售未取得登记证的肥料产品的处罚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《肥料登记管理办法》第二十六条第一项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市、县（区）农业</w:t>
            </w:r>
          </w:p>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农村局</w:t>
            </w:r>
          </w:p>
        </w:tc>
      </w:tr>
      <w:tr>
        <w:tblPrEx>
          <w:tblCellMar>
            <w:top w:w="0" w:type="dxa"/>
            <w:left w:w="108" w:type="dxa"/>
            <w:bottom w:w="0" w:type="dxa"/>
            <w:right w:w="108" w:type="dxa"/>
          </w:tblCellMar>
        </w:tblPrEx>
        <w:trPr>
          <w:cantSplit/>
          <w:trHeight w:val="461"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47</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对生产、销售包装上未附标签、标签残缺不清或者擅自修改标签内容的处罚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《肥料登记管理办法》第二十七条第三项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市、县（区）农业</w:t>
            </w:r>
          </w:p>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农村局</w:t>
            </w:r>
          </w:p>
        </w:tc>
      </w:tr>
      <w:tr>
        <w:tblPrEx>
          <w:tblCellMar>
            <w:top w:w="0" w:type="dxa"/>
            <w:left w:w="108" w:type="dxa"/>
            <w:bottom w:w="0" w:type="dxa"/>
            <w:right w:w="108" w:type="dxa"/>
          </w:tblCellMar>
        </w:tblPrEx>
        <w:trPr>
          <w:cantSplit/>
          <w:trHeight w:val="310"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48</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对擅自安装和使用卫星地面接收设施的处罚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《卫星电视广播地面接收设施管理规定》第十条第三款</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w:t>
            </w:r>
            <w:r>
              <w:rPr>
                <w:rFonts w:hint="eastAsia" w:ascii="华文仿宋" w:hAnsi="华文仿宋" w:eastAsia="华文仿宋" w:cs="华文仿宋"/>
                <w:kern w:val="0"/>
                <w:szCs w:val="21"/>
                <w:lang w:val="en" w:bidi="ar"/>
              </w:rPr>
              <w:t>文化广电和旅游局</w:t>
            </w:r>
          </w:p>
        </w:tc>
      </w:tr>
      <w:tr>
        <w:tblPrEx>
          <w:tblCellMar>
            <w:top w:w="0" w:type="dxa"/>
            <w:left w:w="108" w:type="dxa"/>
            <w:bottom w:w="0" w:type="dxa"/>
            <w:right w:w="108" w:type="dxa"/>
          </w:tblCellMar>
        </w:tblPrEx>
        <w:trPr>
          <w:cantSplit/>
          <w:trHeight w:val="310"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49</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对互联网上网服务营业场所经营单位经营非网络游戏的处罚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《互联网上网服务营业场所管理条例》第三十一条第三项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w:t>
            </w:r>
            <w:r>
              <w:rPr>
                <w:rFonts w:hint="eastAsia" w:ascii="华文仿宋" w:hAnsi="华文仿宋" w:eastAsia="华文仿宋" w:cs="华文仿宋"/>
                <w:kern w:val="0"/>
                <w:szCs w:val="21"/>
                <w:lang w:val="en" w:bidi="ar"/>
              </w:rPr>
              <w:t>文化广电和旅游局</w:t>
            </w:r>
          </w:p>
        </w:tc>
      </w:tr>
      <w:tr>
        <w:tblPrEx>
          <w:tblCellMar>
            <w:top w:w="0" w:type="dxa"/>
            <w:left w:w="108" w:type="dxa"/>
            <w:bottom w:w="0" w:type="dxa"/>
            <w:right w:w="108" w:type="dxa"/>
          </w:tblCellMar>
        </w:tblPrEx>
        <w:trPr>
          <w:cantSplit/>
          <w:trHeight w:val="1003"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50</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对互联网上网服务营业场所经营单位未悬挂《网络文化经营许可证》或者未成年人禁入标志的处罚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《互联网上网服务营业场所管理条例》第三十一条第五项</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市、县（区）</w:t>
            </w:r>
            <w:r>
              <w:rPr>
                <w:rFonts w:hint="eastAsia" w:ascii="华文仿宋" w:hAnsi="华文仿宋" w:eastAsia="华文仿宋" w:cs="华文仿宋"/>
                <w:kern w:val="0"/>
                <w:szCs w:val="21"/>
                <w:lang w:val="en" w:bidi="ar"/>
              </w:rPr>
              <w:t>文化广电和旅游局</w:t>
            </w:r>
          </w:p>
        </w:tc>
      </w:tr>
      <w:tr>
        <w:tblPrEx>
          <w:tblCellMar>
            <w:top w:w="0" w:type="dxa"/>
            <w:left w:w="108" w:type="dxa"/>
            <w:bottom w:w="0" w:type="dxa"/>
            <w:right w:w="108" w:type="dxa"/>
          </w:tblCellMar>
        </w:tblPrEx>
        <w:trPr>
          <w:cantSplit/>
          <w:trHeight w:val="375"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51</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对无导游证进行导游活动的处罚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《导游人员管理条例》第十八条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val="en" w:bidi="ar"/>
              </w:rPr>
            </w:pPr>
            <w:r>
              <w:rPr>
                <w:rFonts w:hint="eastAsia" w:ascii="华文仿宋" w:hAnsi="华文仿宋" w:eastAsia="华文仿宋" w:cs="华文仿宋"/>
                <w:kern w:val="0"/>
                <w:szCs w:val="21"/>
                <w:lang w:bidi="ar"/>
              </w:rPr>
              <w:t>市、县（区）</w:t>
            </w:r>
            <w:r>
              <w:rPr>
                <w:rFonts w:hint="eastAsia" w:ascii="华文仿宋" w:hAnsi="华文仿宋" w:eastAsia="华文仿宋" w:cs="华文仿宋"/>
                <w:kern w:val="0"/>
                <w:szCs w:val="21"/>
                <w:lang w:val="en" w:bidi="ar"/>
              </w:rPr>
              <w:t>文化广电和旅游局</w:t>
            </w:r>
          </w:p>
        </w:tc>
      </w:tr>
      <w:tr>
        <w:tblPrEx>
          <w:tblCellMar>
            <w:top w:w="0" w:type="dxa"/>
            <w:left w:w="108" w:type="dxa"/>
            <w:bottom w:w="0" w:type="dxa"/>
            <w:right w:w="108" w:type="dxa"/>
          </w:tblCellMar>
        </w:tblPrEx>
        <w:trPr>
          <w:cantSplit/>
          <w:trHeight w:val="310"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52</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对导游人员进行导游活动时未佩戴导游证的处罚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rPr>
            </w:pPr>
            <w:r>
              <w:rPr>
                <w:rFonts w:hint="eastAsia" w:ascii="华文仿宋" w:hAnsi="华文仿宋" w:eastAsia="华文仿宋" w:cs="华文仿宋"/>
                <w:kern w:val="0"/>
                <w:szCs w:val="21"/>
                <w:lang w:bidi="ar"/>
              </w:rPr>
              <w:t>《导游人员管理条例》第二十一条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val="en" w:bidi="ar"/>
              </w:rPr>
            </w:pPr>
            <w:r>
              <w:rPr>
                <w:rFonts w:hint="eastAsia" w:ascii="华文仿宋" w:hAnsi="华文仿宋" w:eastAsia="华文仿宋" w:cs="华文仿宋"/>
                <w:kern w:val="0"/>
                <w:szCs w:val="21"/>
                <w:lang w:bidi="ar"/>
              </w:rPr>
              <w:t>市、县（区）</w:t>
            </w:r>
            <w:r>
              <w:rPr>
                <w:rFonts w:hint="eastAsia" w:ascii="华文仿宋" w:hAnsi="华文仿宋" w:eastAsia="华文仿宋" w:cs="华文仿宋"/>
                <w:kern w:val="0"/>
                <w:szCs w:val="21"/>
                <w:lang w:val="en" w:bidi="ar"/>
              </w:rPr>
              <w:t>文化广电和旅游局</w:t>
            </w:r>
          </w:p>
        </w:tc>
      </w:tr>
      <w:tr>
        <w:tblPrEx>
          <w:tblCellMar>
            <w:top w:w="0" w:type="dxa"/>
            <w:left w:w="108" w:type="dxa"/>
            <w:bottom w:w="0" w:type="dxa"/>
            <w:right w:w="108" w:type="dxa"/>
          </w:tblCellMar>
        </w:tblPrEx>
        <w:trPr>
          <w:cantSplit/>
          <w:trHeight w:val="461"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53</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对娱乐场所未按照规定建立从业人员名簿、营业日志的处罚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《娱乐场所管理条例》第五十条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val="en" w:bidi="ar"/>
              </w:rPr>
            </w:pPr>
            <w:r>
              <w:rPr>
                <w:rFonts w:hint="eastAsia" w:ascii="华文仿宋" w:hAnsi="华文仿宋" w:eastAsia="华文仿宋" w:cs="华文仿宋"/>
                <w:kern w:val="0"/>
                <w:szCs w:val="21"/>
                <w:lang w:bidi="ar"/>
              </w:rPr>
              <w:t>市、县（区）</w:t>
            </w:r>
            <w:r>
              <w:rPr>
                <w:rFonts w:hint="eastAsia" w:ascii="华文仿宋" w:hAnsi="华文仿宋" w:eastAsia="华文仿宋" w:cs="华文仿宋"/>
                <w:kern w:val="0"/>
                <w:szCs w:val="21"/>
                <w:lang w:val="en" w:bidi="ar"/>
              </w:rPr>
              <w:t>文化广电和旅游局</w:t>
            </w:r>
          </w:p>
        </w:tc>
      </w:tr>
      <w:tr>
        <w:tblPrEx>
          <w:tblCellMar>
            <w:top w:w="0" w:type="dxa"/>
            <w:left w:w="108" w:type="dxa"/>
            <w:bottom w:w="0" w:type="dxa"/>
            <w:right w:w="108" w:type="dxa"/>
          </w:tblCellMar>
        </w:tblPrEx>
        <w:trPr>
          <w:cantSplit/>
          <w:trHeight w:val="959"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54</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对娱乐场所未在显著位置悬挂娱乐经营许可证、未成年人禁入或者限入标志，或标志未注明举报电话的处罚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《娱乐场所管理办法》第二十四条、第三十三条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val="en" w:bidi="ar"/>
              </w:rPr>
            </w:pPr>
            <w:r>
              <w:rPr>
                <w:rFonts w:hint="eastAsia" w:ascii="华文仿宋" w:hAnsi="华文仿宋" w:eastAsia="华文仿宋" w:cs="华文仿宋"/>
                <w:kern w:val="0"/>
                <w:szCs w:val="21"/>
                <w:lang w:bidi="ar"/>
              </w:rPr>
              <w:t>市、县（区）</w:t>
            </w:r>
            <w:r>
              <w:rPr>
                <w:rFonts w:hint="eastAsia" w:ascii="华文仿宋" w:hAnsi="华文仿宋" w:eastAsia="华文仿宋" w:cs="华文仿宋"/>
                <w:kern w:val="0"/>
                <w:szCs w:val="21"/>
                <w:lang w:val="en" w:bidi="ar"/>
              </w:rPr>
              <w:t>文化广电和旅游局</w:t>
            </w:r>
          </w:p>
        </w:tc>
      </w:tr>
      <w:tr>
        <w:tblPrEx>
          <w:tblCellMar>
            <w:top w:w="0" w:type="dxa"/>
            <w:left w:w="108" w:type="dxa"/>
            <w:bottom w:w="0" w:type="dxa"/>
            <w:right w:w="108" w:type="dxa"/>
          </w:tblCellMar>
        </w:tblPrEx>
        <w:trPr>
          <w:cantSplit/>
          <w:trHeight w:val="375"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55</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对旅行社及其分社、服务网点未悬挂旅行社业务经营许可证、备案登记证明的处罚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《旅行社条例实施细则》第二十六条、第五十七条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val="en"/>
              </w:rPr>
            </w:pPr>
            <w:r>
              <w:rPr>
                <w:rFonts w:hint="eastAsia" w:ascii="华文仿宋" w:hAnsi="华文仿宋" w:eastAsia="华文仿宋" w:cs="华文仿宋"/>
                <w:kern w:val="0"/>
                <w:szCs w:val="21"/>
                <w:lang w:bidi="ar"/>
              </w:rPr>
              <w:t>市、县（区）</w:t>
            </w:r>
            <w:r>
              <w:rPr>
                <w:rFonts w:hint="eastAsia" w:ascii="华文仿宋" w:hAnsi="华文仿宋" w:eastAsia="华文仿宋" w:cs="华文仿宋"/>
                <w:kern w:val="0"/>
                <w:szCs w:val="21"/>
                <w:lang w:val="en" w:bidi="ar"/>
              </w:rPr>
              <w:t>文化广电和旅游局</w:t>
            </w:r>
          </w:p>
        </w:tc>
      </w:tr>
      <w:tr>
        <w:tblPrEx>
          <w:tblCellMar>
            <w:top w:w="0" w:type="dxa"/>
            <w:left w:w="108" w:type="dxa"/>
            <w:bottom w:w="0" w:type="dxa"/>
            <w:right w:w="108" w:type="dxa"/>
          </w:tblCellMar>
        </w:tblPrEx>
        <w:trPr>
          <w:cantSplit/>
          <w:trHeight w:val="1108"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56</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对损坏、挪用或者擅自拆除、停用消防设施、器材的处罚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《中华人民共和国消防法》第十六条、第二十八条、第六十条第一款第二项及第二款、第六十七条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val="en" w:bidi="ar"/>
              </w:rPr>
            </w:pPr>
            <w:r>
              <w:rPr>
                <w:rFonts w:hint="eastAsia" w:ascii="华文仿宋" w:hAnsi="华文仿宋" w:eastAsia="华文仿宋" w:cs="华文仿宋"/>
                <w:kern w:val="0"/>
                <w:szCs w:val="21"/>
                <w:lang w:bidi="ar"/>
              </w:rPr>
              <w:t>县（区）消防救援大队</w:t>
            </w:r>
          </w:p>
        </w:tc>
      </w:tr>
      <w:tr>
        <w:tblPrEx>
          <w:tblCellMar>
            <w:top w:w="0" w:type="dxa"/>
            <w:left w:w="108" w:type="dxa"/>
            <w:bottom w:w="0" w:type="dxa"/>
            <w:right w:w="108" w:type="dxa"/>
          </w:tblCellMar>
        </w:tblPrEx>
        <w:trPr>
          <w:cantSplit/>
          <w:trHeight w:val="552"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57</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对埋压、圈占、遮挡消火栓的处罚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《中华人民共和国消防法》第十六条、第二十八条、第六十条第一款第四项及第二款、第六十七条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县（区）消防救援大队</w:t>
            </w:r>
          </w:p>
        </w:tc>
      </w:tr>
      <w:tr>
        <w:tblPrEx>
          <w:tblCellMar>
            <w:top w:w="0" w:type="dxa"/>
            <w:left w:w="108" w:type="dxa"/>
            <w:bottom w:w="0" w:type="dxa"/>
            <w:right w:w="108" w:type="dxa"/>
          </w:tblCellMar>
        </w:tblPrEx>
        <w:trPr>
          <w:cantSplit/>
          <w:trHeight w:val="1108"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58</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对占用、堵塞、封闭消防车通道，妨碍消防车通行的处罚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《中华人民共和国消防法》第十六条、第二十八条、第六十条第一款第五项及第二款、第六十七条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县（区）消防救援大队</w:t>
            </w:r>
          </w:p>
        </w:tc>
      </w:tr>
      <w:tr>
        <w:tblPrEx>
          <w:tblCellMar>
            <w:top w:w="0" w:type="dxa"/>
            <w:left w:w="108" w:type="dxa"/>
            <w:bottom w:w="0" w:type="dxa"/>
            <w:right w:w="108" w:type="dxa"/>
          </w:tblCellMar>
        </w:tblPrEx>
        <w:trPr>
          <w:cantSplit/>
          <w:trHeight w:val="855" w:hRule="atLeast"/>
          <w:jc w:val="center"/>
        </w:trPr>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59</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textAlignment w:val="auto"/>
              <w:rPr>
                <w:rFonts w:hint="eastAsia" w:ascii="华文仿宋" w:hAnsi="华文仿宋" w:eastAsia="华文仿宋" w:cs="华文仿宋"/>
                <w:kern w:val="0"/>
                <w:szCs w:val="21"/>
                <w:lang w:bidi="ar"/>
              </w:rPr>
            </w:pPr>
            <w:r>
              <w:rPr>
                <w:rFonts w:hint="eastAsia" w:ascii="华文仿宋" w:hAnsi="华文仿宋" w:eastAsia="华文仿宋" w:cs="华文仿宋"/>
                <w:kern w:val="0"/>
                <w:szCs w:val="21"/>
                <w:lang w:bidi="ar"/>
              </w:rPr>
              <w:t>对在居住建筑物的公共走道、楼梯间、门厅内为电动自行车、电动三轮车充电的处罚</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left"/>
              <w:textAlignment w:val="auto"/>
              <w:rPr>
                <w:rFonts w:hint="eastAsia" w:ascii="华文仿宋" w:hAnsi="华文仿宋" w:eastAsia="华文仿宋" w:cs="华文仿宋"/>
                <w:iCs/>
                <w:kern w:val="0"/>
                <w:szCs w:val="21"/>
                <w:lang w:bidi="ar"/>
              </w:rPr>
            </w:pPr>
            <w:r>
              <w:rPr>
                <w:rFonts w:hint="eastAsia" w:ascii="华文仿宋" w:hAnsi="华文仿宋" w:eastAsia="华文仿宋" w:cs="华文仿宋"/>
                <w:iCs/>
                <w:kern w:val="0"/>
                <w:szCs w:val="21"/>
                <w:lang w:bidi="ar"/>
              </w:rPr>
              <w:t>《河南省消防条例》</w:t>
            </w:r>
            <w:r>
              <w:rPr>
                <w:rFonts w:hint="eastAsia" w:ascii="华文仿宋" w:hAnsi="华文仿宋" w:eastAsia="华文仿宋" w:cs="华文仿宋"/>
                <w:kern w:val="0"/>
                <w:szCs w:val="21"/>
                <w:lang w:bidi="ar"/>
              </w:rPr>
              <w:t>第七十一条</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264" w:lineRule="exact"/>
              <w:jc w:val="center"/>
              <w:textAlignment w:val="auto"/>
              <w:rPr>
                <w:rFonts w:hint="eastAsia" w:ascii="华文仿宋" w:hAnsi="华文仿宋" w:eastAsia="华文仿宋" w:cs="华文仿宋"/>
                <w:kern w:val="0"/>
                <w:szCs w:val="21"/>
                <w:lang w:val="en" w:bidi="ar"/>
              </w:rPr>
            </w:pPr>
            <w:r>
              <w:rPr>
                <w:rFonts w:hint="eastAsia" w:ascii="华文仿宋" w:hAnsi="华文仿宋" w:eastAsia="华文仿宋" w:cs="华文仿宋"/>
                <w:kern w:val="0"/>
                <w:szCs w:val="21"/>
                <w:lang w:bidi="ar"/>
              </w:rPr>
              <w:t>县（区）消防救援大队或公安派出所</w:t>
            </w:r>
          </w:p>
        </w:tc>
      </w:tr>
    </w:tbl>
    <w:p>
      <w:pPr>
        <w:pStyle w:val="12"/>
        <w:spacing w:line="0" w:lineRule="atLeast"/>
        <w:ind w:firstLine="0" w:firstLineChars="0"/>
        <w:jc w:val="both"/>
        <w:rPr>
          <w:rFonts w:hint="eastAsia" w:ascii="黑体" w:hAnsi="黑体" w:eastAsia="黑体" w:cs="黑体"/>
          <w:color w:val="auto"/>
          <w:sz w:val="32"/>
          <w:szCs w:val="32"/>
        </w:rPr>
      </w:pPr>
    </w:p>
    <w:p>
      <w:pPr>
        <w:spacing w:line="220" w:lineRule="exact"/>
        <w:jc w:val="left"/>
        <w:textAlignment w:val="baseline"/>
      </w:pPr>
    </w:p>
    <w:sectPr>
      <w:footerReference r:id="rId3" w:type="default"/>
      <w:pgSz w:w="11906" w:h="16838"/>
      <w:pgMar w:top="1701"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文星标宋">
    <w:altName w:val="微软雅黑"/>
    <w:panose1 w:val="0201060400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-278765</wp:posOffset>
              </wp:positionV>
              <wp:extent cx="1828800" cy="2940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940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1.95pt;height:23.15pt;width:144pt;mso-position-horizontal:outside;mso-position-horizontal-relative:margin;mso-wrap-style:none;z-index:251659264;mso-width-relative:page;mso-height-relative:page;" filled="f" stroked="f" coordsize="21600,21600" o:gfxdata="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AvdRNYAAAAGAQAADwAAAAAAAAABACAAAAAiAAAAZHJzL2Rvd25yZXYu&#10;eG1sUEsBAhQAFAAAAAgAh07iQEteNtY2AgAAYAQAAA4AAAAAAAAAAQAgAAAAJQEAAGRycy9lMm9E&#10;b2MueG1sUEsFBgAAAAAGAAYAWQEAAM0FAAAAAA==&#10;">
              <v:fill on="f" focussize="0,0"/>
              <v:stroke on="f" weight="0.5pt"/>
              <v:imagedata o:title=""/>
              <o:lock v:ext="edit" aspectratio="f"/>
              <v:textbox inset="0mm,0mm,0mm,0mm">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1AF057B2"/>
    <w:rsid w:val="17D9680D"/>
    <w:rsid w:val="1AF057B2"/>
    <w:rsid w:val="36065685"/>
    <w:rsid w:val="53391D29"/>
    <w:rsid w:val="549A1BD9"/>
    <w:rsid w:val="5C5A00C3"/>
    <w:rsid w:val="6ED564E4"/>
    <w:rsid w:val="773F1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spacing w:before="260" w:beforeLines="0" w:after="260" w:afterLines="0" w:line="416" w:lineRule="auto"/>
      <w:jc w:val="left"/>
      <w:outlineLvl w:val="1"/>
    </w:pPr>
    <w:rPr>
      <w:rFonts w:ascii="Arial" w:hAnsi="Arial" w:eastAsia="黑体"/>
      <w:b/>
      <w:bCs/>
      <w:kern w:val="0"/>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Subtitle"/>
    <w:next w:val="1"/>
    <w:qFormat/>
    <w:uiPriority w:val="0"/>
    <w:pPr>
      <w:wordWrap w:val="0"/>
      <w:jc w:val="center"/>
    </w:pPr>
    <w:rPr>
      <w:rFonts w:ascii="Times New Roman" w:hAnsi="Times New Roman" w:eastAsia="宋体" w:cs="Times New Roman"/>
      <w:sz w:val="24"/>
      <w:szCs w:val="22"/>
      <w:lang w:val="en-US" w:eastAsia="zh-CN" w:bidi="ar-SA"/>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customStyle="1" w:styleId="11">
    <w:name w:val="Default"/>
    <w:next w:val="7"/>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2">
    <w:name w:val="Body Text First Indent1"/>
    <w:basedOn w:val="4"/>
    <w:qFormat/>
    <w:uiPriority w:val="0"/>
    <w:pPr>
      <w:spacing w:after="0"/>
      <w:ind w:firstLine="420" w:firstLineChars="100"/>
      <w:jc w:val="center"/>
    </w:pPr>
    <w:rPr>
      <w:rFonts w:ascii="Calibri" w:hAnsi="Calibri"/>
      <w:color w:val="FF0000"/>
      <w:sz w:val="144"/>
    </w:rPr>
  </w:style>
  <w:style w:type="paragraph" w:customStyle="1" w:styleId="13">
    <w:name w:val="正文 New"/>
    <w:basedOn w:val="1"/>
    <w:qFormat/>
    <w:uiPriority w:val="0"/>
    <w:rPr>
      <w:rFonts w:ascii="Calibri" w:hAnsi="Calibri"/>
      <w:szCs w:val="21"/>
    </w:rPr>
  </w:style>
  <w:style w:type="paragraph" w:customStyle="1" w:styleId="14">
    <w:name w:val="_Style 1"/>
    <w:basedOn w:val="1"/>
    <w:qFormat/>
    <w:uiPriority w:val="0"/>
    <w:pPr>
      <w:widowControl/>
      <w:spacing w:after="160" w:afterLines="0" w:line="240" w:lineRule="exact"/>
      <w:jc w:val="left"/>
    </w:pPr>
    <w:rPr>
      <w:rFonts w:ascii="Verdana" w:hAnsi="Verdana" w:eastAsia="仿宋_GB2312" w:cs="仿宋_GB2312"/>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11162</Words>
  <Characters>11310</Characters>
  <Lines>0</Lines>
  <Paragraphs>0</Paragraphs>
  <TotalTime>114</TotalTime>
  <ScaleCrop>false</ScaleCrop>
  <LinksUpToDate>false</LinksUpToDate>
  <CharactersWithSpaces>11366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2023-05-29T09:40:00Z</dcterms:created>
  <dc:creator>15003791555</dc:creator>
  <cp:lastModifiedBy>Administrator</cp:lastModifiedBy>
  <cp:lastPrinted>2023-05-30T10:28:00Z</cp:lastPrinted>
  <dcterms:modified xsi:type="dcterms:W3CDTF">2023-05-31T01:48:10Z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62E2DC828CD741A3A5176BD1243333D1</vt:lpwstr>
  </property>
</Properties>
</file>